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4F" w:rsidRPr="006432DC" w:rsidRDefault="002A5278" w:rsidP="002A5278">
      <w:pPr>
        <w:pStyle w:val="Heading2"/>
        <w:rPr>
          <w:i w:val="0"/>
          <w:sz w:val="20"/>
          <w:szCs w:val="20"/>
          <w:lang w:val="en-CA"/>
        </w:rPr>
      </w:pPr>
      <w:r>
        <w:rPr>
          <w:i w:val="0"/>
          <w:sz w:val="20"/>
          <w:szCs w:val="20"/>
          <w:lang w:val="en-CA"/>
        </w:rPr>
        <w:t>Unit 2                                                                                                                                                 CLU</w:t>
      </w:r>
      <w:r w:rsidR="00137D4F" w:rsidRPr="006432DC">
        <w:rPr>
          <w:i w:val="0"/>
          <w:sz w:val="20"/>
          <w:szCs w:val="20"/>
          <w:lang w:val="en-CA"/>
        </w:rPr>
        <w:t xml:space="preserve">3M </w:t>
      </w:r>
    </w:p>
    <w:p w:rsidR="00137D4F" w:rsidRPr="006432DC" w:rsidRDefault="006432DC" w:rsidP="00F17527">
      <w:pPr>
        <w:jc w:val="center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6432DC">
        <w:rPr>
          <w:rFonts w:ascii="Arial" w:hAnsi="Arial" w:cs="Arial"/>
          <w:b/>
          <w:sz w:val="28"/>
          <w:szCs w:val="28"/>
          <w:u w:val="single"/>
          <w:lang w:val="en-CA"/>
        </w:rPr>
        <w:t>COURT CHALLENGES UNDER THE CHARTER</w:t>
      </w:r>
    </w:p>
    <w:p w:rsidR="00E92A42" w:rsidRPr="00E92A42" w:rsidRDefault="00E92A42" w:rsidP="00330DEF">
      <w:pPr>
        <w:pStyle w:val="BodytextwSpaceafter"/>
        <w:rPr>
          <w:sz w:val="40"/>
          <w:szCs w:val="40"/>
          <w:lang w:val="en-CA"/>
        </w:rPr>
      </w:pPr>
    </w:p>
    <w:p w:rsidR="00F65264" w:rsidRDefault="00137D4F" w:rsidP="00330DEF">
      <w:pPr>
        <w:pStyle w:val="BodytextwSpaceafter"/>
        <w:rPr>
          <w:b/>
          <w:lang w:val="en-CA"/>
        </w:rPr>
      </w:pPr>
      <w:r>
        <w:rPr>
          <w:lang w:val="en-CA"/>
        </w:rPr>
        <w:t>Research a legal case in which there has been a violation of rights under the Canadian Charter of Rights and Freedoms and present your findings in a legal report.  The report should</w:t>
      </w:r>
      <w:r w:rsidR="00C566FF">
        <w:rPr>
          <w:lang w:val="en-CA"/>
        </w:rPr>
        <w:t xml:space="preserve"> follow the accompanying “FIDS” instructions in terms of format and content, but be sure to </w:t>
      </w:r>
      <w:r>
        <w:rPr>
          <w:lang w:val="en-CA"/>
        </w:rPr>
        <w:t xml:space="preserve">include: </w:t>
      </w:r>
      <w:r w:rsidRPr="00F17527">
        <w:rPr>
          <w:b/>
          <w:lang w:val="en-CA"/>
        </w:rPr>
        <w:t>a summary of the case, the facts of the case, a detailed description of the rights violation, explanation of which Charter Sections are relevant, the decision reached a</w:t>
      </w:r>
      <w:r w:rsidR="00F65264">
        <w:rPr>
          <w:b/>
          <w:lang w:val="en-CA"/>
        </w:rPr>
        <w:t>nd the re</w:t>
      </w:r>
      <w:r w:rsidR="00D80CE3">
        <w:rPr>
          <w:b/>
          <w:lang w:val="en-CA"/>
        </w:rPr>
        <w:t xml:space="preserve">asons for the decision, </w:t>
      </w:r>
      <w:r w:rsidR="002A5278">
        <w:rPr>
          <w:b/>
          <w:lang w:val="en-CA"/>
        </w:rPr>
        <w:t xml:space="preserve">and </w:t>
      </w:r>
      <w:r w:rsidR="00F65264">
        <w:rPr>
          <w:b/>
          <w:lang w:val="en-CA"/>
        </w:rPr>
        <w:t>an assessment of the significance of the case to society.</w:t>
      </w:r>
    </w:p>
    <w:p w:rsidR="00137D4F" w:rsidRPr="00F17527" w:rsidRDefault="00137D4F" w:rsidP="00330DEF">
      <w:pPr>
        <w:pStyle w:val="BodytextwSpaceafter"/>
        <w:rPr>
          <w:b/>
          <w:lang w:val="en-CA"/>
        </w:rPr>
      </w:pPr>
      <w:r w:rsidRPr="00F17527">
        <w:rPr>
          <w:b/>
          <w:lang w:val="en-CA"/>
        </w:rPr>
        <w:t xml:space="preserve">  </w:t>
      </w:r>
    </w:p>
    <w:p w:rsidR="00C566FF" w:rsidRDefault="00137D4F" w:rsidP="00330DEF">
      <w:pPr>
        <w:pStyle w:val="BodytextwSpaceafter"/>
        <w:rPr>
          <w:lang w:val="en-CA"/>
        </w:rPr>
      </w:pPr>
      <w:r>
        <w:rPr>
          <w:lang w:val="en-CA"/>
        </w:rPr>
        <w:t xml:space="preserve">It is essential that you use your own words in this assignment. </w:t>
      </w:r>
    </w:p>
    <w:p w:rsidR="00F65264" w:rsidRDefault="000766E7" w:rsidP="00330DEF">
      <w:pPr>
        <w:pStyle w:val="BodytextwSpaceafter"/>
        <w:rPr>
          <w:lang w:val="en-CA"/>
        </w:rPr>
      </w:pPr>
      <w:r>
        <w:rPr>
          <w:lang w:val="en-CA"/>
        </w:rPr>
        <w:t>You final product must be t</w:t>
      </w:r>
      <w:r w:rsidR="00C566FF">
        <w:rPr>
          <w:lang w:val="en-CA"/>
        </w:rPr>
        <w:t>ed and</w:t>
      </w:r>
      <w:r w:rsidR="00137D4F">
        <w:rPr>
          <w:lang w:val="en-CA"/>
        </w:rPr>
        <w:t xml:space="preserve"> doub</w:t>
      </w:r>
      <w:r w:rsidR="00C566FF">
        <w:rPr>
          <w:lang w:val="en-CA"/>
        </w:rPr>
        <w:t>le spaced</w:t>
      </w:r>
      <w:r w:rsidR="00F65264">
        <w:rPr>
          <w:lang w:val="en-CA"/>
        </w:rPr>
        <w:t xml:space="preserve"> AND SUBMITTED VIA TURNITIN </w:t>
      </w:r>
    </w:p>
    <w:p w:rsidR="00137D4F" w:rsidRPr="008D0F4C" w:rsidRDefault="002C63C1" w:rsidP="00330DEF">
      <w:pPr>
        <w:pStyle w:val="BodytextwSpaceafter"/>
        <w:rPr>
          <w:b/>
          <w:lang w:val="en-CA"/>
        </w:rPr>
      </w:pPr>
      <w:r>
        <w:rPr>
          <w:lang w:val="en-CA"/>
        </w:rPr>
        <w:t xml:space="preserve">Due: </w:t>
      </w:r>
      <w:r w:rsidR="008D0F4C">
        <w:rPr>
          <w:b/>
          <w:lang w:val="en-CA"/>
        </w:rPr>
        <w:t>NOVEMBER 7</w:t>
      </w:r>
      <w:r w:rsidR="008D0F4C" w:rsidRPr="008D0F4C">
        <w:rPr>
          <w:b/>
          <w:vertAlign w:val="superscript"/>
          <w:lang w:val="en-CA"/>
        </w:rPr>
        <w:t>th</w:t>
      </w:r>
      <w:r w:rsidR="008D0F4C">
        <w:rPr>
          <w:b/>
          <w:lang w:val="en-CA"/>
        </w:rPr>
        <w:t xml:space="preserve"> 2016 </w:t>
      </w:r>
    </w:p>
    <w:p w:rsidR="00137D4F" w:rsidRDefault="00137D4F" w:rsidP="00330DEF">
      <w:pPr>
        <w:pStyle w:val="BodytextwSpaceafter"/>
        <w:rPr>
          <w:lang w:val="en-CA"/>
        </w:rPr>
      </w:pPr>
    </w:p>
    <w:p w:rsidR="00137D4F" w:rsidRPr="00F17527" w:rsidRDefault="00137D4F" w:rsidP="00330DEF">
      <w:pPr>
        <w:pStyle w:val="HTMLPreformatted"/>
        <w:rPr>
          <w:rFonts w:ascii="Arial" w:hAnsi="Arial" w:cs="Arial"/>
          <w:b/>
          <w:sz w:val="22"/>
          <w:szCs w:val="22"/>
          <w:u w:val="single"/>
        </w:rPr>
      </w:pPr>
      <w:r w:rsidRPr="00F17527">
        <w:rPr>
          <w:rFonts w:ascii="Arial" w:hAnsi="Arial" w:cs="Arial"/>
          <w:b/>
          <w:sz w:val="22"/>
          <w:szCs w:val="22"/>
          <w:u w:val="single"/>
        </w:rPr>
        <w:t>Instructions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137D4F" w:rsidRDefault="00137D4F" w:rsidP="00330DEF">
      <w:pPr>
        <w:pStyle w:val="HTMLPreformatted"/>
        <w:rPr>
          <w:sz w:val="19"/>
          <w:szCs w:val="19"/>
        </w:rPr>
      </w:pPr>
    </w:p>
    <w:p w:rsidR="000659C1" w:rsidRPr="000659C1" w:rsidRDefault="00F65264" w:rsidP="000659C1">
      <w:pPr>
        <w:pStyle w:val="HTMLPreformatted"/>
        <w:numPr>
          <w:ilvl w:val="0"/>
          <w:numId w:val="3"/>
        </w:num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Research your assigned case! All cases are significant and have reached </w:t>
      </w:r>
      <w:r w:rsidR="00137D4F">
        <w:rPr>
          <w:rFonts w:ascii="Times New Roman" w:hAnsi="Times New Roman" w:cs="Times New Roman"/>
          <w:sz w:val="22"/>
          <w:szCs w:val="22"/>
        </w:rPr>
        <w:t>the Supreme Court of Canada, ba</w:t>
      </w:r>
      <w:r w:rsidR="000659C1">
        <w:rPr>
          <w:rFonts w:ascii="Times New Roman" w:hAnsi="Times New Roman" w:cs="Times New Roman"/>
          <w:sz w:val="22"/>
          <w:szCs w:val="22"/>
        </w:rPr>
        <w:t xml:space="preserve">sed on a Charter infringement.  </w:t>
      </w:r>
      <w:r w:rsidR="000659C1" w:rsidRPr="000659C1">
        <w:rPr>
          <w:rFonts w:ascii="Times New Roman" w:hAnsi="Times New Roman" w:cs="Times New Roman"/>
          <w:sz w:val="22"/>
          <w:szCs w:val="22"/>
        </w:rPr>
        <w:t>http://scc-csc.lexum.com/scc-csc/en/nav.do</w:t>
      </w:r>
    </w:p>
    <w:p w:rsidR="002A5278" w:rsidRDefault="002A5278" w:rsidP="002A5278">
      <w:pPr>
        <w:pStyle w:val="HTMLPreformatted"/>
        <w:ind w:left="720"/>
        <w:rPr>
          <w:rFonts w:ascii="Times New Roman" w:hAnsi="Times New Roman" w:cs="Times New Roman"/>
          <w:sz w:val="22"/>
          <w:szCs w:val="22"/>
        </w:rPr>
      </w:pPr>
    </w:p>
    <w:p w:rsidR="002A5278" w:rsidRPr="00F65264" w:rsidRDefault="002A5278" w:rsidP="002A5278">
      <w:pPr>
        <w:pStyle w:val="HTMLPreformatted"/>
        <w:ind w:left="72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Cases: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5528"/>
      </w:tblGrid>
      <w:tr w:rsidR="00F65264" w:rsidTr="00064545">
        <w:trPr>
          <w:trHeight w:val="88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65264" w:rsidRPr="008D0F4C" w:rsidRDefault="002C63C1" w:rsidP="00F65264">
            <w:pPr>
              <w:pStyle w:val="HTMLPreformatted"/>
              <w:rPr>
                <w:rStyle w:val="Emphasis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v.</w:t>
            </w:r>
            <w:r w:rsidR="000766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A0A80">
              <w:rPr>
                <w:rFonts w:ascii="Times New Roman" w:hAnsi="Times New Roman" w:cs="Times New Roman"/>
                <w:sz w:val="20"/>
                <w:szCs w:val="20"/>
              </w:rPr>
              <w:t>Big M Drug Mart (Fundamental Freedoms</w:t>
            </w:r>
            <w:r w:rsidR="00F65264" w:rsidRPr="002A52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63C1" w:rsidRPr="002C63C1" w:rsidRDefault="002C63C1" w:rsidP="00F65264">
            <w:pPr>
              <w:pStyle w:val="HTMLPreformatted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63C1">
              <w:rPr>
                <w:rStyle w:val="Emphasis"/>
                <w:rFonts w:ascii="Times New Roman" w:hAnsi="Times New Roman" w:cs="Times New Roman"/>
                <w:bCs/>
                <w:i w:val="0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R. v. Askov</w:t>
            </w:r>
            <w:r>
              <w:rPr>
                <w:rStyle w:val="Emphasis"/>
                <w:rFonts w:ascii="Times New Roman" w:hAnsi="Times New Roman" w:cs="Times New Roman"/>
                <w:bCs/>
                <w:i w:val="0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(Legal Rights)</w:t>
            </w:r>
          </w:p>
          <w:p w:rsidR="00F65264" w:rsidRPr="00A6552A" w:rsidRDefault="00F21519" w:rsidP="002A5278">
            <w:pPr>
              <w:pStyle w:val="HTMLPreformatted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Irwin </w:t>
            </w:r>
            <w:r w:rsidR="00AA0A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Toy Ltd. v. Quebec (</w:t>
            </w:r>
            <w:r w:rsidR="002C63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Fundamental Freedoms</w:t>
            </w:r>
            <w:r w:rsidR="00064545" w:rsidRPr="002A52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F65264" w:rsidRPr="002A5278" w:rsidRDefault="00F65264" w:rsidP="00F65264">
            <w:pPr>
              <w:pStyle w:val="HTMLPreformatted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52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R. v. </w:t>
            </w:r>
            <w:proofErr w:type="spellStart"/>
            <w:r w:rsidRPr="002A52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Keegstra</w:t>
            </w:r>
            <w:proofErr w:type="spellEnd"/>
            <w:r w:rsidR="008D0F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(Fundamental Freedoms</w:t>
            </w:r>
            <w:r w:rsidRPr="002A52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F65264" w:rsidRPr="002A5278" w:rsidRDefault="00F65264" w:rsidP="00F65264">
            <w:pPr>
              <w:pStyle w:val="HTMLPreformatte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278">
              <w:rPr>
                <w:rFonts w:ascii="Times New Roman" w:hAnsi="Times New Roman" w:cs="Times New Roman"/>
                <w:sz w:val="20"/>
                <w:szCs w:val="20"/>
              </w:rPr>
              <w:t>Sauve</w:t>
            </w:r>
            <w:proofErr w:type="spellEnd"/>
            <w:r w:rsidR="00F21519">
              <w:rPr>
                <w:rFonts w:ascii="Times New Roman" w:hAnsi="Times New Roman" w:cs="Times New Roman"/>
                <w:sz w:val="20"/>
                <w:szCs w:val="20"/>
              </w:rPr>
              <w:t xml:space="preserve"> v. Canada</w:t>
            </w:r>
            <w:r w:rsidR="00AA0A80">
              <w:rPr>
                <w:rFonts w:ascii="Times New Roman" w:hAnsi="Times New Roman" w:cs="Times New Roman"/>
                <w:sz w:val="20"/>
                <w:szCs w:val="20"/>
              </w:rPr>
              <w:t xml:space="preserve"> (Democratic Rights</w:t>
            </w: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65264" w:rsidRPr="002A5278" w:rsidRDefault="00F21519" w:rsidP="00F65264">
            <w:pPr>
              <w:pStyle w:val="HTMLPreformatte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v.</w:t>
            </w:r>
            <w:r w:rsidR="00AA0A80">
              <w:rPr>
                <w:rFonts w:ascii="Times New Roman" w:hAnsi="Times New Roman" w:cs="Times New Roman"/>
                <w:sz w:val="20"/>
                <w:szCs w:val="20"/>
              </w:rPr>
              <w:t xml:space="preserve"> Morgentaler</w:t>
            </w:r>
            <w:r w:rsidR="008D0F4C">
              <w:rPr>
                <w:rFonts w:ascii="Times New Roman" w:hAnsi="Times New Roman" w:cs="Times New Roman"/>
                <w:sz w:val="20"/>
                <w:szCs w:val="20"/>
              </w:rPr>
              <w:t xml:space="preserve"> [1988] </w:t>
            </w:r>
            <w:r w:rsidR="00AA0A80">
              <w:rPr>
                <w:rFonts w:ascii="Times New Roman" w:hAnsi="Times New Roman" w:cs="Times New Roman"/>
                <w:sz w:val="20"/>
                <w:szCs w:val="20"/>
              </w:rPr>
              <w:t xml:space="preserve"> (Legal Rights)</w:t>
            </w:r>
          </w:p>
          <w:p w:rsidR="00F65264" w:rsidRDefault="00F65264" w:rsidP="00064545">
            <w:pPr>
              <w:pStyle w:val="HTMLPreformatted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6432DC" w:rsidRPr="006432DC" w:rsidRDefault="006432DC" w:rsidP="002A5278">
      <w:pPr>
        <w:pStyle w:val="HTMLPreformatted"/>
        <w:rPr>
          <w:rFonts w:ascii="Times New Roman" w:hAnsi="Times New Roman" w:cs="Times New Roman"/>
          <w:i/>
          <w:sz w:val="22"/>
          <w:szCs w:val="22"/>
        </w:rPr>
      </w:pPr>
    </w:p>
    <w:p w:rsidR="00137D4F" w:rsidRPr="0014169B" w:rsidRDefault="00137D4F" w:rsidP="00330DEF">
      <w:pPr>
        <w:pStyle w:val="HTMLPreformatted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4169B">
        <w:rPr>
          <w:rFonts w:ascii="Times New Roman" w:hAnsi="Times New Roman" w:cs="Times New Roman"/>
          <w:sz w:val="22"/>
          <w:szCs w:val="22"/>
        </w:rPr>
        <w:t>Write a report</w:t>
      </w:r>
      <w:r w:rsidR="00F65264">
        <w:rPr>
          <w:rFonts w:ascii="Times New Roman" w:hAnsi="Times New Roman" w:cs="Times New Roman"/>
          <w:sz w:val="22"/>
          <w:szCs w:val="22"/>
        </w:rPr>
        <w:t xml:space="preserve"> following the assigned format. Use heading</w:t>
      </w:r>
      <w:r w:rsidR="002C63C1">
        <w:rPr>
          <w:rFonts w:ascii="Times New Roman" w:hAnsi="Times New Roman" w:cs="Times New Roman"/>
          <w:sz w:val="22"/>
          <w:szCs w:val="22"/>
        </w:rPr>
        <w:t>s</w:t>
      </w:r>
      <w:r w:rsidR="00F65264">
        <w:rPr>
          <w:rFonts w:ascii="Times New Roman" w:hAnsi="Times New Roman" w:cs="Times New Roman"/>
          <w:sz w:val="22"/>
          <w:szCs w:val="22"/>
        </w:rPr>
        <w:t xml:space="preserve"> to distinguish your sections. Your result will be a series of paragraphs</w:t>
      </w:r>
      <w:r w:rsidRPr="0014169B">
        <w:rPr>
          <w:rFonts w:ascii="Times New Roman" w:hAnsi="Times New Roman" w:cs="Times New Roman"/>
          <w:sz w:val="22"/>
          <w:szCs w:val="22"/>
          <w:lang w:val="en-CA"/>
        </w:rPr>
        <w:t xml:space="preserve"> </w:t>
      </w:r>
      <w:r w:rsidR="00F65264">
        <w:rPr>
          <w:rFonts w:ascii="Times New Roman" w:hAnsi="Times New Roman" w:cs="Times New Roman"/>
          <w:sz w:val="22"/>
          <w:szCs w:val="22"/>
          <w:lang w:val="en-CA"/>
        </w:rPr>
        <w:t>that highlight the main ideas from an important “Charter” case</w:t>
      </w:r>
    </w:p>
    <w:p w:rsidR="00137D4F" w:rsidRPr="000659C1" w:rsidRDefault="00137D4F" w:rsidP="00330DEF">
      <w:pPr>
        <w:pStyle w:val="Heading2"/>
        <w:rPr>
          <w:sz w:val="16"/>
          <w:szCs w:val="16"/>
          <w:lang w:val="en-CA"/>
        </w:rPr>
      </w:pPr>
      <w:r w:rsidRPr="000659C1">
        <w:rPr>
          <w:sz w:val="16"/>
          <w:szCs w:val="16"/>
          <w:lang w:val="en-CA"/>
        </w:rPr>
        <w:t>Rubric</w:t>
      </w:r>
      <w:r w:rsidR="000659C1">
        <w:rPr>
          <w:sz w:val="16"/>
          <w:szCs w:val="16"/>
          <w:lang w:val="en-CA"/>
        </w:rPr>
        <w:t>:</w:t>
      </w:r>
    </w:p>
    <w:tbl>
      <w:tblPr>
        <w:tblW w:w="10314" w:type="dxa"/>
        <w:jc w:val="center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2592"/>
        <w:gridCol w:w="1736"/>
        <w:gridCol w:w="1737"/>
        <w:gridCol w:w="2067"/>
        <w:gridCol w:w="2182"/>
      </w:tblGrid>
      <w:tr w:rsidR="00137D4F" w:rsidTr="00E92A42">
        <w:trPr>
          <w:jc w:val="center"/>
        </w:trPr>
        <w:tc>
          <w:tcPr>
            <w:tcW w:w="2592" w:type="dxa"/>
          </w:tcPr>
          <w:p w:rsidR="00137D4F" w:rsidRPr="00050B54" w:rsidRDefault="00137D4F" w:rsidP="00AF70E0">
            <w:pPr>
              <w:pStyle w:val="BodyText"/>
              <w:jc w:val="center"/>
              <w:rPr>
                <w:b/>
                <w:sz w:val="18"/>
                <w:szCs w:val="18"/>
                <w:lang w:val="en-CA"/>
              </w:rPr>
            </w:pPr>
            <w:r w:rsidRPr="00050B54">
              <w:rPr>
                <w:b/>
                <w:sz w:val="18"/>
                <w:szCs w:val="18"/>
                <w:lang w:val="en-CA"/>
              </w:rPr>
              <w:t>Criteria</w:t>
            </w:r>
          </w:p>
        </w:tc>
        <w:tc>
          <w:tcPr>
            <w:tcW w:w="1736" w:type="dxa"/>
          </w:tcPr>
          <w:p w:rsidR="00137D4F" w:rsidRPr="00050B54" w:rsidRDefault="00137D4F" w:rsidP="00AF70E0">
            <w:pPr>
              <w:pStyle w:val="BodyText"/>
              <w:jc w:val="center"/>
              <w:rPr>
                <w:b/>
                <w:sz w:val="18"/>
                <w:szCs w:val="18"/>
                <w:lang w:val="en-CA"/>
              </w:rPr>
            </w:pPr>
            <w:r w:rsidRPr="00050B54">
              <w:rPr>
                <w:b/>
                <w:sz w:val="18"/>
                <w:szCs w:val="18"/>
                <w:lang w:val="en-CA"/>
              </w:rPr>
              <w:t>Level 1</w:t>
            </w:r>
            <w:r w:rsidRPr="00050B54">
              <w:rPr>
                <w:b/>
                <w:sz w:val="18"/>
                <w:szCs w:val="18"/>
                <w:lang w:val="en-CA"/>
              </w:rPr>
              <w:br/>
              <w:t>(50-59%)</w:t>
            </w:r>
          </w:p>
        </w:tc>
        <w:tc>
          <w:tcPr>
            <w:tcW w:w="1737" w:type="dxa"/>
          </w:tcPr>
          <w:p w:rsidR="00137D4F" w:rsidRPr="00050B54" w:rsidRDefault="00137D4F" w:rsidP="00AF70E0">
            <w:pPr>
              <w:pStyle w:val="BodyText"/>
              <w:jc w:val="center"/>
              <w:rPr>
                <w:b/>
                <w:sz w:val="18"/>
                <w:szCs w:val="18"/>
                <w:lang w:val="en-CA"/>
              </w:rPr>
            </w:pPr>
            <w:r w:rsidRPr="00050B54">
              <w:rPr>
                <w:b/>
                <w:sz w:val="18"/>
                <w:szCs w:val="18"/>
                <w:lang w:val="en-CA"/>
              </w:rPr>
              <w:t>Level 2</w:t>
            </w:r>
            <w:r w:rsidRPr="00050B54">
              <w:rPr>
                <w:b/>
                <w:sz w:val="18"/>
                <w:szCs w:val="18"/>
                <w:lang w:val="en-CA"/>
              </w:rPr>
              <w:br/>
              <w:t>(60-69%)</w:t>
            </w:r>
          </w:p>
        </w:tc>
        <w:tc>
          <w:tcPr>
            <w:tcW w:w="2067" w:type="dxa"/>
          </w:tcPr>
          <w:p w:rsidR="00137D4F" w:rsidRPr="00050B54" w:rsidRDefault="00137D4F" w:rsidP="00AF70E0">
            <w:pPr>
              <w:pStyle w:val="BodyText"/>
              <w:jc w:val="center"/>
              <w:rPr>
                <w:b/>
                <w:sz w:val="18"/>
                <w:szCs w:val="18"/>
                <w:lang w:val="en-CA"/>
              </w:rPr>
            </w:pPr>
            <w:r w:rsidRPr="00050B54">
              <w:rPr>
                <w:b/>
                <w:sz w:val="18"/>
                <w:szCs w:val="18"/>
                <w:lang w:val="en-CA"/>
              </w:rPr>
              <w:t>Level 3</w:t>
            </w:r>
            <w:r w:rsidRPr="00050B54">
              <w:rPr>
                <w:b/>
                <w:sz w:val="18"/>
                <w:szCs w:val="18"/>
                <w:lang w:val="en-CA"/>
              </w:rPr>
              <w:br/>
              <w:t>(70-79%)</w:t>
            </w:r>
          </w:p>
        </w:tc>
        <w:tc>
          <w:tcPr>
            <w:tcW w:w="2182" w:type="dxa"/>
          </w:tcPr>
          <w:p w:rsidR="00137D4F" w:rsidRPr="00050B54" w:rsidRDefault="00137D4F" w:rsidP="00AF70E0">
            <w:pPr>
              <w:pStyle w:val="BodyText"/>
              <w:jc w:val="center"/>
              <w:rPr>
                <w:b/>
                <w:sz w:val="18"/>
                <w:szCs w:val="18"/>
                <w:lang w:val="en-CA"/>
              </w:rPr>
            </w:pPr>
            <w:r w:rsidRPr="00050B54">
              <w:rPr>
                <w:b/>
                <w:sz w:val="18"/>
                <w:szCs w:val="18"/>
                <w:lang w:val="en-CA"/>
              </w:rPr>
              <w:t>Level 4</w:t>
            </w:r>
            <w:r w:rsidRPr="00050B54">
              <w:rPr>
                <w:b/>
                <w:sz w:val="18"/>
                <w:szCs w:val="18"/>
                <w:lang w:val="en-CA"/>
              </w:rPr>
              <w:br/>
              <w:t>(80-100%)</w:t>
            </w:r>
          </w:p>
        </w:tc>
      </w:tr>
      <w:tr w:rsidR="00137D4F" w:rsidTr="00E92A42">
        <w:trPr>
          <w:jc w:val="center"/>
        </w:trPr>
        <w:tc>
          <w:tcPr>
            <w:tcW w:w="2592" w:type="dxa"/>
          </w:tcPr>
          <w:p w:rsidR="00137D4F" w:rsidRDefault="00137D4F" w:rsidP="00AF70E0">
            <w:pPr>
              <w:pStyle w:val="BodyText"/>
              <w:rPr>
                <w:b/>
                <w:bCs/>
                <w:sz w:val="18"/>
                <w:szCs w:val="18"/>
                <w:lang w:val="en-CA"/>
              </w:rPr>
            </w:pPr>
            <w:r w:rsidRPr="00050B54">
              <w:rPr>
                <w:b/>
                <w:bCs/>
                <w:sz w:val="18"/>
                <w:szCs w:val="18"/>
                <w:lang w:val="en-CA"/>
              </w:rPr>
              <w:t>Knowledge/</w:t>
            </w:r>
            <w:r w:rsidRPr="00050B54">
              <w:rPr>
                <w:b/>
                <w:bCs/>
                <w:sz w:val="18"/>
                <w:szCs w:val="18"/>
                <w:lang w:val="en-CA"/>
              </w:rPr>
              <w:br/>
              <w:t>Understanding</w:t>
            </w:r>
          </w:p>
          <w:p w:rsidR="00AA4534" w:rsidRPr="00AA4534" w:rsidRDefault="00AA4534" w:rsidP="00AF70E0">
            <w:pPr>
              <w:pStyle w:val="BodyText"/>
              <w:rPr>
                <w:bCs/>
                <w:sz w:val="18"/>
                <w:szCs w:val="18"/>
                <w:lang w:val="en-CA"/>
              </w:rPr>
            </w:pPr>
            <w:r w:rsidRPr="00AA4534">
              <w:rPr>
                <w:bCs/>
                <w:sz w:val="18"/>
                <w:szCs w:val="18"/>
                <w:lang w:val="en-CA"/>
              </w:rPr>
              <w:t>-Facts of the case</w:t>
            </w:r>
          </w:p>
          <w:p w:rsidR="00137D4F" w:rsidRDefault="00AA4534" w:rsidP="00AF70E0">
            <w:pPr>
              <w:pStyle w:val="BodyTex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</w:t>
            </w:r>
            <w:r w:rsidR="00137D4F" w:rsidRPr="00050B54">
              <w:rPr>
                <w:sz w:val="18"/>
                <w:szCs w:val="18"/>
                <w:lang w:val="en-CA"/>
              </w:rPr>
              <w:t>Understanding of the Char</w:t>
            </w:r>
            <w:r>
              <w:rPr>
                <w:sz w:val="18"/>
                <w:szCs w:val="18"/>
                <w:lang w:val="en-CA"/>
              </w:rPr>
              <w:t>ter and its significance to the case</w:t>
            </w:r>
          </w:p>
          <w:p w:rsidR="00AA4534" w:rsidRPr="00050B54" w:rsidRDefault="00AA4534" w:rsidP="00AF70E0">
            <w:pPr>
              <w:pStyle w:val="BodyText"/>
              <w:rPr>
                <w:sz w:val="18"/>
                <w:szCs w:val="18"/>
                <w:lang w:val="en-CA"/>
              </w:rPr>
            </w:pPr>
          </w:p>
        </w:tc>
        <w:tc>
          <w:tcPr>
            <w:tcW w:w="1736" w:type="dxa"/>
          </w:tcPr>
          <w:p w:rsidR="00AA4534" w:rsidRDefault="00137D4F" w:rsidP="00AF70E0">
            <w:pPr>
              <w:pStyle w:val="BodyText"/>
              <w:rPr>
                <w:sz w:val="18"/>
                <w:szCs w:val="18"/>
                <w:lang w:val="en-CA"/>
              </w:rPr>
            </w:pPr>
            <w:r w:rsidRPr="00050B54">
              <w:rPr>
                <w:sz w:val="18"/>
                <w:szCs w:val="18"/>
                <w:lang w:val="en-CA"/>
              </w:rPr>
              <w:t xml:space="preserve">- limited understanding of the </w:t>
            </w:r>
            <w:r w:rsidR="00AA4534">
              <w:rPr>
                <w:sz w:val="18"/>
                <w:szCs w:val="18"/>
                <w:lang w:val="en-CA"/>
              </w:rPr>
              <w:t>facts of the case</w:t>
            </w:r>
          </w:p>
          <w:p w:rsidR="00137D4F" w:rsidRPr="00050B54" w:rsidRDefault="00AA4534" w:rsidP="00AF70E0">
            <w:pPr>
              <w:pStyle w:val="BodyTex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 – limited </w:t>
            </w:r>
            <w:r w:rsidRPr="00050B54">
              <w:rPr>
                <w:sz w:val="18"/>
                <w:szCs w:val="18"/>
                <w:lang w:val="en-CA"/>
              </w:rPr>
              <w:t xml:space="preserve">understanding of the </w:t>
            </w:r>
            <w:r w:rsidR="00137D4F" w:rsidRPr="00050B54">
              <w:rPr>
                <w:sz w:val="18"/>
                <w:szCs w:val="18"/>
                <w:lang w:val="en-CA"/>
              </w:rPr>
              <w:t xml:space="preserve">Charter </w:t>
            </w:r>
            <w:r>
              <w:rPr>
                <w:sz w:val="18"/>
                <w:szCs w:val="18"/>
                <w:lang w:val="en-CA"/>
              </w:rPr>
              <w:t>and its significance to the case</w:t>
            </w:r>
          </w:p>
        </w:tc>
        <w:tc>
          <w:tcPr>
            <w:tcW w:w="1737" w:type="dxa"/>
          </w:tcPr>
          <w:p w:rsidR="00AA4534" w:rsidRDefault="00734664" w:rsidP="00AF70E0">
            <w:pPr>
              <w:pStyle w:val="BodyTex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- adequate </w:t>
            </w:r>
            <w:r w:rsidR="00137D4F" w:rsidRPr="00050B54">
              <w:rPr>
                <w:sz w:val="18"/>
                <w:szCs w:val="18"/>
                <w:lang w:val="en-CA"/>
              </w:rPr>
              <w:t>understanding of the</w:t>
            </w:r>
            <w:r w:rsidR="00AA4534">
              <w:rPr>
                <w:sz w:val="18"/>
                <w:szCs w:val="18"/>
                <w:lang w:val="en-CA"/>
              </w:rPr>
              <w:t xml:space="preserve"> facts of the case </w:t>
            </w:r>
          </w:p>
          <w:p w:rsidR="00137D4F" w:rsidRPr="00050B54" w:rsidRDefault="00AA4534" w:rsidP="00AF70E0">
            <w:pPr>
              <w:pStyle w:val="BodyTex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 </w:t>
            </w:r>
            <w:r w:rsidR="00734664">
              <w:rPr>
                <w:sz w:val="18"/>
                <w:szCs w:val="18"/>
                <w:lang w:val="en-CA"/>
              </w:rPr>
              <w:t>- adequate</w:t>
            </w:r>
            <w:r w:rsidRPr="00050B54">
              <w:rPr>
                <w:sz w:val="18"/>
                <w:szCs w:val="18"/>
                <w:lang w:val="en-CA"/>
              </w:rPr>
              <w:t xml:space="preserve"> understanding of the</w:t>
            </w:r>
            <w:r w:rsidR="00137D4F" w:rsidRPr="00050B54">
              <w:rPr>
                <w:sz w:val="18"/>
                <w:szCs w:val="18"/>
                <w:lang w:val="en-CA"/>
              </w:rPr>
              <w:t xml:space="preserve"> Charter</w:t>
            </w:r>
            <w:r>
              <w:rPr>
                <w:sz w:val="18"/>
                <w:szCs w:val="18"/>
                <w:lang w:val="en-CA"/>
              </w:rPr>
              <w:t xml:space="preserve"> and its significance to the case</w:t>
            </w:r>
          </w:p>
        </w:tc>
        <w:tc>
          <w:tcPr>
            <w:tcW w:w="2067" w:type="dxa"/>
          </w:tcPr>
          <w:p w:rsidR="00734664" w:rsidRDefault="00137D4F" w:rsidP="00AF70E0">
            <w:pPr>
              <w:pStyle w:val="BodyText"/>
              <w:rPr>
                <w:sz w:val="18"/>
                <w:szCs w:val="18"/>
                <w:lang w:val="en-CA"/>
              </w:rPr>
            </w:pPr>
            <w:r w:rsidRPr="00050B54">
              <w:rPr>
                <w:sz w:val="18"/>
                <w:szCs w:val="18"/>
                <w:lang w:val="en-CA"/>
              </w:rPr>
              <w:t>- considerable understanding of the</w:t>
            </w:r>
            <w:r w:rsidR="00734664">
              <w:rPr>
                <w:sz w:val="18"/>
                <w:szCs w:val="18"/>
                <w:lang w:val="en-CA"/>
              </w:rPr>
              <w:t xml:space="preserve"> case</w:t>
            </w:r>
          </w:p>
          <w:p w:rsidR="00137D4F" w:rsidRPr="00050B54" w:rsidRDefault="00734664" w:rsidP="00AF70E0">
            <w:pPr>
              <w:pStyle w:val="BodyTex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</w:t>
            </w:r>
            <w:r w:rsidRPr="00050B54">
              <w:rPr>
                <w:sz w:val="18"/>
                <w:szCs w:val="18"/>
                <w:lang w:val="en-CA"/>
              </w:rPr>
              <w:t xml:space="preserve"> considerable understanding of the</w:t>
            </w:r>
            <w:r w:rsidR="00137D4F" w:rsidRPr="00050B54">
              <w:rPr>
                <w:sz w:val="18"/>
                <w:szCs w:val="18"/>
                <w:lang w:val="en-CA"/>
              </w:rPr>
              <w:t xml:space="preserve"> Charter</w:t>
            </w:r>
            <w:r w:rsidR="00AA4534">
              <w:rPr>
                <w:sz w:val="18"/>
                <w:szCs w:val="18"/>
                <w:lang w:val="en-CA"/>
              </w:rPr>
              <w:t xml:space="preserve"> and its significance to the case</w:t>
            </w:r>
          </w:p>
        </w:tc>
        <w:tc>
          <w:tcPr>
            <w:tcW w:w="2182" w:type="dxa"/>
          </w:tcPr>
          <w:p w:rsidR="00734664" w:rsidRDefault="00137D4F" w:rsidP="00AF70E0">
            <w:pPr>
              <w:pStyle w:val="BodyText"/>
              <w:rPr>
                <w:sz w:val="18"/>
                <w:szCs w:val="18"/>
                <w:lang w:val="en-CA"/>
              </w:rPr>
            </w:pPr>
            <w:r w:rsidRPr="00050B54">
              <w:rPr>
                <w:sz w:val="18"/>
                <w:szCs w:val="18"/>
                <w:lang w:val="en-CA"/>
              </w:rPr>
              <w:t xml:space="preserve">- </w:t>
            </w:r>
            <w:r w:rsidR="00734664" w:rsidRPr="00050B54">
              <w:rPr>
                <w:sz w:val="18"/>
                <w:szCs w:val="18"/>
                <w:lang w:val="en-CA"/>
              </w:rPr>
              <w:t>thorough understanding of the</w:t>
            </w:r>
            <w:r w:rsidR="00734664">
              <w:rPr>
                <w:sz w:val="18"/>
                <w:szCs w:val="18"/>
                <w:lang w:val="en-CA"/>
              </w:rPr>
              <w:t xml:space="preserve"> case</w:t>
            </w:r>
          </w:p>
          <w:p w:rsidR="00137D4F" w:rsidRPr="00050B54" w:rsidRDefault="00734664" w:rsidP="00AF70E0">
            <w:pPr>
              <w:pStyle w:val="BodyTex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</w:t>
            </w:r>
            <w:r w:rsidR="00137D4F" w:rsidRPr="00050B54">
              <w:rPr>
                <w:sz w:val="18"/>
                <w:szCs w:val="18"/>
                <w:lang w:val="en-CA"/>
              </w:rPr>
              <w:t>thorough understanding of the Charter</w:t>
            </w:r>
            <w:r w:rsidR="00AA4534">
              <w:rPr>
                <w:sz w:val="18"/>
                <w:szCs w:val="18"/>
                <w:lang w:val="en-CA"/>
              </w:rPr>
              <w:t xml:space="preserve"> and its significance to the case</w:t>
            </w:r>
          </w:p>
        </w:tc>
      </w:tr>
      <w:tr w:rsidR="00137D4F" w:rsidTr="00E92A42">
        <w:trPr>
          <w:jc w:val="center"/>
        </w:trPr>
        <w:tc>
          <w:tcPr>
            <w:tcW w:w="2592" w:type="dxa"/>
          </w:tcPr>
          <w:p w:rsidR="00137D4F" w:rsidRPr="00050B54" w:rsidRDefault="006C1A82" w:rsidP="00AF70E0">
            <w:pPr>
              <w:pStyle w:val="BodyText"/>
              <w:rPr>
                <w:b/>
                <w:bCs/>
                <w:sz w:val="18"/>
                <w:szCs w:val="18"/>
                <w:lang w:val="en-CA"/>
              </w:rPr>
            </w:pPr>
            <w:r>
              <w:rPr>
                <w:b/>
                <w:bCs/>
                <w:sz w:val="18"/>
                <w:szCs w:val="18"/>
                <w:lang w:val="en-CA"/>
              </w:rPr>
              <w:t>Thinking</w:t>
            </w:r>
          </w:p>
          <w:p w:rsidR="00137D4F" w:rsidRPr="00050B54" w:rsidRDefault="00734664" w:rsidP="00AF70E0">
            <w:pPr>
              <w:pStyle w:val="BodyTex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-Significance of the Case</w:t>
            </w:r>
          </w:p>
        </w:tc>
        <w:tc>
          <w:tcPr>
            <w:tcW w:w="1736" w:type="dxa"/>
          </w:tcPr>
          <w:p w:rsidR="00137D4F" w:rsidRPr="00050B54" w:rsidRDefault="00137D4F" w:rsidP="00AF70E0">
            <w:pPr>
              <w:pStyle w:val="BodyText"/>
              <w:rPr>
                <w:sz w:val="18"/>
                <w:szCs w:val="18"/>
                <w:lang w:val="en-CA"/>
              </w:rPr>
            </w:pPr>
            <w:r w:rsidRPr="00050B54">
              <w:rPr>
                <w:sz w:val="18"/>
                <w:szCs w:val="18"/>
                <w:lang w:val="en-CA"/>
              </w:rPr>
              <w:t xml:space="preserve">- </w:t>
            </w:r>
            <w:r w:rsidR="00734664" w:rsidRPr="00050B54">
              <w:rPr>
                <w:sz w:val="18"/>
                <w:szCs w:val="18"/>
                <w:lang w:val="en-CA"/>
              </w:rPr>
              <w:t>limited understanding of the</w:t>
            </w:r>
            <w:r w:rsidR="00734664">
              <w:rPr>
                <w:sz w:val="18"/>
                <w:szCs w:val="18"/>
                <w:lang w:val="en-CA"/>
              </w:rPr>
              <w:t xml:space="preserve"> significance of the case</w:t>
            </w:r>
          </w:p>
        </w:tc>
        <w:tc>
          <w:tcPr>
            <w:tcW w:w="1737" w:type="dxa"/>
          </w:tcPr>
          <w:p w:rsidR="00137D4F" w:rsidRPr="00050B54" w:rsidRDefault="00734664" w:rsidP="00AF70E0">
            <w:pPr>
              <w:pStyle w:val="BodyTex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- adequate </w:t>
            </w:r>
            <w:r w:rsidRPr="00050B54">
              <w:rPr>
                <w:sz w:val="18"/>
                <w:szCs w:val="18"/>
                <w:lang w:val="en-CA"/>
              </w:rPr>
              <w:t>understanding of the</w:t>
            </w:r>
            <w:r>
              <w:rPr>
                <w:sz w:val="18"/>
                <w:szCs w:val="18"/>
                <w:lang w:val="en-CA"/>
              </w:rPr>
              <w:t xml:space="preserve"> significance of the case</w:t>
            </w:r>
          </w:p>
        </w:tc>
        <w:tc>
          <w:tcPr>
            <w:tcW w:w="2067" w:type="dxa"/>
          </w:tcPr>
          <w:p w:rsidR="00137D4F" w:rsidRPr="00050B54" w:rsidRDefault="00734664" w:rsidP="00AF70E0">
            <w:pPr>
              <w:pStyle w:val="BodyText"/>
              <w:rPr>
                <w:sz w:val="18"/>
                <w:szCs w:val="18"/>
                <w:lang w:val="en-CA"/>
              </w:rPr>
            </w:pPr>
            <w:r w:rsidRPr="00050B54">
              <w:rPr>
                <w:sz w:val="18"/>
                <w:szCs w:val="18"/>
                <w:lang w:val="en-CA"/>
              </w:rPr>
              <w:t>- considerable understanding of the</w:t>
            </w:r>
            <w:r>
              <w:rPr>
                <w:sz w:val="18"/>
                <w:szCs w:val="18"/>
                <w:lang w:val="en-CA"/>
              </w:rPr>
              <w:t xml:space="preserve"> significance of the case</w:t>
            </w:r>
          </w:p>
        </w:tc>
        <w:tc>
          <w:tcPr>
            <w:tcW w:w="2182" w:type="dxa"/>
          </w:tcPr>
          <w:p w:rsidR="00137D4F" w:rsidRPr="00050B54" w:rsidRDefault="00734664" w:rsidP="00AF70E0">
            <w:pPr>
              <w:pStyle w:val="BodyText"/>
              <w:rPr>
                <w:sz w:val="18"/>
                <w:szCs w:val="18"/>
                <w:lang w:val="en-CA"/>
              </w:rPr>
            </w:pPr>
            <w:r w:rsidRPr="00050B54">
              <w:rPr>
                <w:sz w:val="18"/>
                <w:szCs w:val="18"/>
                <w:lang w:val="en-CA"/>
              </w:rPr>
              <w:t>- thorough understanding of the</w:t>
            </w:r>
            <w:r>
              <w:rPr>
                <w:sz w:val="18"/>
                <w:szCs w:val="18"/>
                <w:lang w:val="en-CA"/>
              </w:rPr>
              <w:t xml:space="preserve"> significance of the case </w:t>
            </w:r>
          </w:p>
        </w:tc>
      </w:tr>
      <w:tr w:rsidR="00137D4F" w:rsidTr="00E92A42">
        <w:trPr>
          <w:jc w:val="center"/>
        </w:trPr>
        <w:tc>
          <w:tcPr>
            <w:tcW w:w="2592" w:type="dxa"/>
          </w:tcPr>
          <w:p w:rsidR="00137D4F" w:rsidRPr="00050B54" w:rsidRDefault="00137D4F" w:rsidP="00AF70E0">
            <w:pPr>
              <w:pStyle w:val="BodyText"/>
              <w:rPr>
                <w:b/>
                <w:bCs/>
                <w:sz w:val="18"/>
                <w:szCs w:val="18"/>
                <w:lang w:val="en-CA"/>
              </w:rPr>
            </w:pPr>
            <w:r w:rsidRPr="00050B54">
              <w:rPr>
                <w:b/>
                <w:bCs/>
                <w:sz w:val="18"/>
                <w:szCs w:val="18"/>
                <w:lang w:val="en-CA"/>
              </w:rPr>
              <w:t>Communication</w:t>
            </w:r>
          </w:p>
          <w:p w:rsidR="00137D4F" w:rsidRDefault="00225150" w:rsidP="00AF70E0">
            <w:pPr>
              <w:pStyle w:val="BodyTex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-content </w:t>
            </w:r>
            <w:r w:rsidR="00343C84">
              <w:rPr>
                <w:sz w:val="18"/>
                <w:szCs w:val="18"/>
                <w:lang w:val="en-CA"/>
              </w:rPr>
              <w:t xml:space="preserve">must be </w:t>
            </w:r>
            <w:r>
              <w:rPr>
                <w:sz w:val="18"/>
                <w:szCs w:val="18"/>
                <w:lang w:val="en-CA"/>
              </w:rPr>
              <w:t>written in the student’s words</w:t>
            </w:r>
            <w:r w:rsidR="00343C84">
              <w:rPr>
                <w:sz w:val="18"/>
                <w:szCs w:val="18"/>
                <w:lang w:val="en-CA"/>
              </w:rPr>
              <w:t>!</w:t>
            </w:r>
          </w:p>
          <w:p w:rsidR="00225150" w:rsidRDefault="00225150" w:rsidP="00AF70E0">
            <w:pPr>
              <w:pStyle w:val="BodyTex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-headings used to divide sections</w:t>
            </w:r>
          </w:p>
          <w:p w:rsidR="00343C84" w:rsidRDefault="00343C84" w:rsidP="00AF70E0">
            <w:pPr>
              <w:pStyle w:val="BodyTex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-proper grammar</w:t>
            </w:r>
          </w:p>
          <w:p w:rsidR="00225150" w:rsidRPr="00050B54" w:rsidRDefault="00225150" w:rsidP="00AF70E0">
            <w:pPr>
              <w:pStyle w:val="BodyTex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-ideas clear and coherent</w:t>
            </w:r>
          </w:p>
        </w:tc>
        <w:tc>
          <w:tcPr>
            <w:tcW w:w="1736" w:type="dxa"/>
          </w:tcPr>
          <w:p w:rsidR="00225150" w:rsidRDefault="00225150" w:rsidP="00AF70E0">
            <w:pPr>
              <w:pStyle w:val="BodyTex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-many grammatical errors</w:t>
            </w:r>
          </w:p>
          <w:p w:rsidR="00225150" w:rsidRDefault="00225150" w:rsidP="00AF70E0">
            <w:pPr>
              <w:pStyle w:val="BodyTex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-limited clarity and coherence</w:t>
            </w:r>
          </w:p>
          <w:p w:rsidR="00137D4F" w:rsidRPr="00050B54" w:rsidRDefault="00137D4F" w:rsidP="00AF70E0">
            <w:pPr>
              <w:pStyle w:val="BodyText"/>
              <w:rPr>
                <w:sz w:val="18"/>
                <w:szCs w:val="18"/>
                <w:lang w:val="en-CA"/>
              </w:rPr>
            </w:pPr>
          </w:p>
        </w:tc>
        <w:tc>
          <w:tcPr>
            <w:tcW w:w="1737" w:type="dxa"/>
          </w:tcPr>
          <w:p w:rsidR="00225150" w:rsidRDefault="00225150" w:rsidP="00F17527">
            <w:pPr>
              <w:pStyle w:val="BodyTex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Several grammatical errors</w:t>
            </w:r>
          </w:p>
          <w:p w:rsidR="00225150" w:rsidRDefault="00225150" w:rsidP="00225150">
            <w:pPr>
              <w:pStyle w:val="BodyTex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-adequate clarity and coherence</w:t>
            </w:r>
          </w:p>
          <w:p w:rsidR="00137D4F" w:rsidRPr="00050B54" w:rsidRDefault="00137D4F" w:rsidP="00AF70E0">
            <w:pPr>
              <w:pStyle w:val="BodyText"/>
              <w:rPr>
                <w:sz w:val="18"/>
                <w:szCs w:val="18"/>
                <w:lang w:val="en-CA"/>
              </w:rPr>
            </w:pPr>
          </w:p>
        </w:tc>
        <w:tc>
          <w:tcPr>
            <w:tcW w:w="2067" w:type="dxa"/>
          </w:tcPr>
          <w:p w:rsidR="00137D4F" w:rsidRDefault="00225150" w:rsidP="00AF70E0">
            <w:pPr>
              <w:pStyle w:val="BodyTex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</w:t>
            </w:r>
            <w:r w:rsidR="00343C84">
              <w:rPr>
                <w:sz w:val="18"/>
                <w:szCs w:val="18"/>
                <w:lang w:val="en-CA"/>
              </w:rPr>
              <w:t>Few grammatical errors</w:t>
            </w:r>
          </w:p>
          <w:p w:rsidR="00343C84" w:rsidRPr="00050B54" w:rsidRDefault="00343C84" w:rsidP="00AF70E0">
            <w:pPr>
              <w:pStyle w:val="BodyTex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-considerable clarity and coherence</w:t>
            </w:r>
          </w:p>
        </w:tc>
        <w:tc>
          <w:tcPr>
            <w:tcW w:w="2182" w:type="dxa"/>
          </w:tcPr>
          <w:p w:rsidR="00137D4F" w:rsidRDefault="00225150" w:rsidP="00AF70E0">
            <w:pPr>
              <w:pStyle w:val="BodyTex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Well-written in student’s own words</w:t>
            </w:r>
            <w:r w:rsidR="00343C84">
              <w:rPr>
                <w:sz w:val="18"/>
                <w:szCs w:val="18"/>
                <w:lang w:val="en-CA"/>
              </w:rPr>
              <w:t>. Clear, coherent, sophisticated writing!</w:t>
            </w:r>
          </w:p>
          <w:p w:rsidR="00225150" w:rsidRPr="00050B54" w:rsidRDefault="00225150" w:rsidP="00AF70E0">
            <w:pPr>
              <w:pStyle w:val="BodyText"/>
              <w:rPr>
                <w:sz w:val="18"/>
                <w:szCs w:val="18"/>
                <w:lang w:val="en-CA"/>
              </w:rPr>
            </w:pPr>
          </w:p>
        </w:tc>
      </w:tr>
      <w:tr w:rsidR="00137D4F" w:rsidTr="00E92A42">
        <w:trPr>
          <w:jc w:val="center"/>
        </w:trPr>
        <w:tc>
          <w:tcPr>
            <w:tcW w:w="2592" w:type="dxa"/>
          </w:tcPr>
          <w:p w:rsidR="00137D4F" w:rsidRDefault="00137D4F" w:rsidP="00AF70E0">
            <w:pPr>
              <w:pStyle w:val="BodyText"/>
              <w:rPr>
                <w:b/>
                <w:bCs/>
                <w:sz w:val="18"/>
                <w:szCs w:val="18"/>
                <w:lang w:val="en-CA"/>
              </w:rPr>
            </w:pPr>
            <w:r w:rsidRPr="00050B54">
              <w:rPr>
                <w:b/>
                <w:bCs/>
                <w:sz w:val="18"/>
                <w:szCs w:val="18"/>
                <w:lang w:val="en-CA"/>
              </w:rPr>
              <w:t>Application</w:t>
            </w:r>
          </w:p>
          <w:p w:rsidR="00E92A42" w:rsidRPr="00E92A42" w:rsidRDefault="00E92A42" w:rsidP="00AF70E0">
            <w:pPr>
              <w:pStyle w:val="BodyText"/>
              <w:rPr>
                <w:bCs/>
                <w:sz w:val="18"/>
                <w:szCs w:val="18"/>
                <w:lang w:val="en-CA"/>
              </w:rPr>
            </w:pPr>
            <w:r w:rsidRPr="00E92A42">
              <w:rPr>
                <w:bCs/>
                <w:sz w:val="18"/>
                <w:szCs w:val="18"/>
                <w:lang w:val="en-CA"/>
              </w:rPr>
              <w:t>-Issues</w:t>
            </w:r>
          </w:p>
          <w:p w:rsidR="00485B63" w:rsidRDefault="00485B63" w:rsidP="00AF70E0">
            <w:pPr>
              <w:pStyle w:val="BodyTex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-Decision and Judicial Reasoning </w:t>
            </w:r>
          </w:p>
          <w:p w:rsidR="00137D4F" w:rsidRPr="00050B54" w:rsidRDefault="00E92A42" w:rsidP="00AF70E0">
            <w:pPr>
              <w:pStyle w:val="BodyTex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</w:t>
            </w:r>
            <w:r w:rsidR="00137D4F" w:rsidRPr="00050B54">
              <w:rPr>
                <w:sz w:val="18"/>
                <w:szCs w:val="18"/>
                <w:lang w:val="en-CA"/>
              </w:rPr>
              <w:t>Making logical conclusions about the key ideas/concepts relevant to the case</w:t>
            </w:r>
          </w:p>
        </w:tc>
        <w:tc>
          <w:tcPr>
            <w:tcW w:w="1736" w:type="dxa"/>
          </w:tcPr>
          <w:p w:rsidR="00E92A42" w:rsidRDefault="00E92A42" w:rsidP="00E92A42">
            <w:pPr>
              <w:pStyle w:val="BodyText"/>
              <w:rPr>
                <w:sz w:val="18"/>
                <w:szCs w:val="18"/>
                <w:lang w:val="en-CA"/>
              </w:rPr>
            </w:pPr>
            <w:r w:rsidRPr="00050B54">
              <w:rPr>
                <w:sz w:val="18"/>
                <w:szCs w:val="18"/>
                <w:lang w:val="en-CA"/>
              </w:rPr>
              <w:t xml:space="preserve">- limited understanding of the </w:t>
            </w:r>
            <w:r>
              <w:rPr>
                <w:sz w:val="18"/>
                <w:szCs w:val="18"/>
                <w:lang w:val="en-CA"/>
              </w:rPr>
              <w:t>issues of the case</w:t>
            </w:r>
          </w:p>
          <w:p w:rsidR="00E92A42" w:rsidRDefault="00E92A42" w:rsidP="00E92A42">
            <w:pPr>
              <w:pStyle w:val="BodyText"/>
              <w:rPr>
                <w:sz w:val="18"/>
                <w:szCs w:val="18"/>
                <w:lang w:val="en-CA"/>
              </w:rPr>
            </w:pPr>
            <w:r w:rsidRPr="00050B54">
              <w:rPr>
                <w:sz w:val="18"/>
                <w:szCs w:val="18"/>
                <w:lang w:val="en-CA"/>
              </w:rPr>
              <w:t xml:space="preserve">- limited understanding of the </w:t>
            </w:r>
            <w:r>
              <w:rPr>
                <w:sz w:val="18"/>
                <w:szCs w:val="18"/>
                <w:lang w:val="en-CA"/>
              </w:rPr>
              <w:t>judicial reasoning</w:t>
            </w:r>
          </w:p>
          <w:p w:rsidR="00137D4F" w:rsidRPr="00050B54" w:rsidRDefault="00137D4F" w:rsidP="00E92A42">
            <w:pPr>
              <w:pStyle w:val="BodyText"/>
              <w:rPr>
                <w:sz w:val="18"/>
                <w:szCs w:val="18"/>
                <w:lang w:val="en-CA"/>
              </w:rPr>
            </w:pPr>
          </w:p>
        </w:tc>
        <w:tc>
          <w:tcPr>
            <w:tcW w:w="1737" w:type="dxa"/>
          </w:tcPr>
          <w:p w:rsidR="00E92A42" w:rsidRDefault="00E92A42" w:rsidP="00E92A42">
            <w:pPr>
              <w:pStyle w:val="BodyTex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- adequate </w:t>
            </w:r>
            <w:r w:rsidRPr="00050B54">
              <w:rPr>
                <w:sz w:val="18"/>
                <w:szCs w:val="18"/>
                <w:lang w:val="en-CA"/>
              </w:rPr>
              <w:t xml:space="preserve">understanding of the </w:t>
            </w:r>
            <w:r>
              <w:rPr>
                <w:sz w:val="18"/>
                <w:szCs w:val="18"/>
                <w:lang w:val="en-CA"/>
              </w:rPr>
              <w:t>issues of the case</w:t>
            </w:r>
          </w:p>
          <w:p w:rsidR="00137D4F" w:rsidRDefault="00E92A42" w:rsidP="00E92A42">
            <w:pPr>
              <w:pStyle w:val="BodyTex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- adequate </w:t>
            </w:r>
            <w:r w:rsidRPr="00050B54">
              <w:rPr>
                <w:sz w:val="18"/>
                <w:szCs w:val="18"/>
                <w:lang w:val="en-CA"/>
              </w:rPr>
              <w:t xml:space="preserve">understanding of the </w:t>
            </w:r>
            <w:r>
              <w:rPr>
                <w:sz w:val="18"/>
                <w:szCs w:val="18"/>
                <w:lang w:val="en-CA"/>
              </w:rPr>
              <w:t>judicial reasoning</w:t>
            </w:r>
          </w:p>
          <w:p w:rsidR="00137D4F" w:rsidRPr="00050B54" w:rsidRDefault="00137D4F" w:rsidP="00AF70E0">
            <w:pPr>
              <w:pStyle w:val="BodyText"/>
              <w:rPr>
                <w:sz w:val="18"/>
                <w:szCs w:val="18"/>
                <w:lang w:val="en-CA"/>
              </w:rPr>
            </w:pPr>
          </w:p>
        </w:tc>
        <w:tc>
          <w:tcPr>
            <w:tcW w:w="2067" w:type="dxa"/>
          </w:tcPr>
          <w:p w:rsidR="00E92A42" w:rsidRDefault="00E92A42" w:rsidP="00E92A42">
            <w:pPr>
              <w:pStyle w:val="BodyTex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 xml:space="preserve">- considerable </w:t>
            </w:r>
            <w:r w:rsidRPr="00050B54">
              <w:rPr>
                <w:sz w:val="18"/>
                <w:szCs w:val="18"/>
                <w:lang w:val="en-CA"/>
              </w:rPr>
              <w:t xml:space="preserve">understanding of the </w:t>
            </w:r>
            <w:r>
              <w:rPr>
                <w:sz w:val="18"/>
                <w:szCs w:val="18"/>
                <w:lang w:val="en-CA"/>
              </w:rPr>
              <w:t>issues of the case</w:t>
            </w:r>
          </w:p>
          <w:p w:rsidR="00E92A42" w:rsidRDefault="00E92A42" w:rsidP="00E92A42">
            <w:pPr>
              <w:pStyle w:val="BodyTex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 considerable</w:t>
            </w:r>
            <w:r w:rsidRPr="00050B54">
              <w:rPr>
                <w:sz w:val="18"/>
                <w:szCs w:val="18"/>
                <w:lang w:val="en-CA"/>
              </w:rPr>
              <w:t xml:space="preserve"> understanding of the </w:t>
            </w:r>
            <w:r>
              <w:rPr>
                <w:sz w:val="18"/>
                <w:szCs w:val="18"/>
                <w:lang w:val="en-CA"/>
              </w:rPr>
              <w:t>judicial reasoning</w:t>
            </w:r>
          </w:p>
          <w:p w:rsidR="00137D4F" w:rsidRPr="00050B54" w:rsidRDefault="00137D4F" w:rsidP="00E92A42">
            <w:pPr>
              <w:pStyle w:val="BodyText"/>
              <w:rPr>
                <w:sz w:val="18"/>
                <w:szCs w:val="18"/>
                <w:lang w:val="en-CA"/>
              </w:rPr>
            </w:pPr>
          </w:p>
        </w:tc>
        <w:tc>
          <w:tcPr>
            <w:tcW w:w="2182" w:type="dxa"/>
          </w:tcPr>
          <w:p w:rsidR="00E92A42" w:rsidRDefault="00E92A42" w:rsidP="00E92A42">
            <w:pPr>
              <w:pStyle w:val="BodyTex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 thorough</w:t>
            </w:r>
            <w:r w:rsidRPr="00050B54">
              <w:rPr>
                <w:sz w:val="18"/>
                <w:szCs w:val="18"/>
                <w:lang w:val="en-CA"/>
              </w:rPr>
              <w:t xml:space="preserve"> understanding of the </w:t>
            </w:r>
            <w:r>
              <w:rPr>
                <w:sz w:val="18"/>
                <w:szCs w:val="18"/>
                <w:lang w:val="en-CA"/>
              </w:rPr>
              <w:t>issues of the case</w:t>
            </w:r>
          </w:p>
          <w:p w:rsidR="00E92A42" w:rsidRDefault="00E92A42" w:rsidP="00E92A42">
            <w:pPr>
              <w:pStyle w:val="BodyText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- thorough</w:t>
            </w:r>
            <w:r w:rsidRPr="00050B54">
              <w:rPr>
                <w:sz w:val="18"/>
                <w:szCs w:val="18"/>
                <w:lang w:val="en-CA"/>
              </w:rPr>
              <w:t xml:space="preserve"> understanding of the </w:t>
            </w:r>
            <w:r>
              <w:rPr>
                <w:sz w:val="18"/>
                <w:szCs w:val="18"/>
                <w:lang w:val="en-CA"/>
              </w:rPr>
              <w:t>judicial reasoning</w:t>
            </w:r>
          </w:p>
          <w:p w:rsidR="00E92A42" w:rsidRDefault="00E92A42" w:rsidP="00AF70E0">
            <w:pPr>
              <w:pStyle w:val="BodyText"/>
              <w:rPr>
                <w:sz w:val="18"/>
                <w:szCs w:val="18"/>
                <w:lang w:val="en-CA"/>
              </w:rPr>
            </w:pPr>
          </w:p>
          <w:p w:rsidR="00E92A42" w:rsidRDefault="00E92A42" w:rsidP="00AF70E0">
            <w:pPr>
              <w:pStyle w:val="BodyText"/>
              <w:rPr>
                <w:sz w:val="18"/>
                <w:szCs w:val="18"/>
                <w:lang w:val="en-CA"/>
              </w:rPr>
            </w:pPr>
          </w:p>
          <w:p w:rsidR="00137D4F" w:rsidRPr="00050B54" w:rsidRDefault="00137D4F" w:rsidP="00AF70E0">
            <w:pPr>
              <w:pStyle w:val="BodyText"/>
              <w:rPr>
                <w:sz w:val="18"/>
                <w:szCs w:val="18"/>
                <w:lang w:val="en-CA"/>
              </w:rPr>
            </w:pPr>
          </w:p>
        </w:tc>
      </w:tr>
    </w:tbl>
    <w:p w:rsidR="006C1A82" w:rsidRDefault="006C1A82" w:rsidP="006C1A82">
      <w:pPr>
        <w:pStyle w:val="Heading2"/>
      </w:pPr>
    </w:p>
    <w:p w:rsidR="006C1A82" w:rsidRPr="006C1A82" w:rsidRDefault="006C1A82" w:rsidP="006C1A82"/>
    <w:p w:rsidR="006C1A82" w:rsidRPr="006C1A82" w:rsidRDefault="006C1A82" w:rsidP="006C1A82"/>
    <w:p w:rsidR="006C1A82" w:rsidRPr="006C1A82" w:rsidRDefault="006C1A82" w:rsidP="006C1A82"/>
    <w:p w:rsidR="006C1A82" w:rsidRPr="006C1A82" w:rsidRDefault="006C1A82" w:rsidP="006C1A82"/>
    <w:p w:rsidR="006C1A82" w:rsidRPr="006C1A82" w:rsidRDefault="006C1A82" w:rsidP="006C1A82"/>
    <w:p w:rsidR="006C1A82" w:rsidRPr="006C1A82" w:rsidRDefault="006C1A82" w:rsidP="006C1A82"/>
    <w:p w:rsidR="006C1A82" w:rsidRDefault="006C1A82" w:rsidP="006C1A82"/>
    <w:p w:rsidR="00137D4F" w:rsidRPr="006C1A82" w:rsidRDefault="006C1A82" w:rsidP="006C1A82">
      <w:pPr>
        <w:tabs>
          <w:tab w:val="left" w:pos="2355"/>
        </w:tabs>
      </w:pPr>
      <w:r>
        <w:tab/>
      </w:r>
    </w:p>
    <w:sectPr w:rsidR="00137D4F" w:rsidRPr="006C1A82" w:rsidSect="00A6552A">
      <w:pgSz w:w="12240" w:h="15840"/>
      <w:pgMar w:top="680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3A60"/>
    <w:multiLevelType w:val="hybridMultilevel"/>
    <w:tmpl w:val="78B8C2D4"/>
    <w:lvl w:ilvl="0" w:tplc="2B081EF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240801"/>
    <w:multiLevelType w:val="hybridMultilevel"/>
    <w:tmpl w:val="51CEC994"/>
    <w:lvl w:ilvl="0" w:tplc="37DC7B5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C42993"/>
    <w:multiLevelType w:val="multilevel"/>
    <w:tmpl w:val="FFFFFFFF"/>
    <w:lvl w:ilvl="0">
      <w:start w:val="1"/>
      <w:numFmt w:val="decimal"/>
      <w:pStyle w:val="BodyTextBullet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EF"/>
    <w:rsid w:val="00050B54"/>
    <w:rsid w:val="00064545"/>
    <w:rsid w:val="000659C1"/>
    <w:rsid w:val="000766E7"/>
    <w:rsid w:val="00105BE3"/>
    <w:rsid w:val="00137D4F"/>
    <w:rsid w:val="0014169B"/>
    <w:rsid w:val="00181491"/>
    <w:rsid w:val="0020726A"/>
    <w:rsid w:val="00225150"/>
    <w:rsid w:val="002748AF"/>
    <w:rsid w:val="002A5278"/>
    <w:rsid w:val="002C63C1"/>
    <w:rsid w:val="00330DEF"/>
    <w:rsid w:val="00343C84"/>
    <w:rsid w:val="0040035C"/>
    <w:rsid w:val="00485B63"/>
    <w:rsid w:val="00556B47"/>
    <w:rsid w:val="006432DC"/>
    <w:rsid w:val="00694633"/>
    <w:rsid w:val="006C1A82"/>
    <w:rsid w:val="00734664"/>
    <w:rsid w:val="00832ED1"/>
    <w:rsid w:val="00871482"/>
    <w:rsid w:val="008D0F4C"/>
    <w:rsid w:val="00A61DF1"/>
    <w:rsid w:val="00A6552A"/>
    <w:rsid w:val="00AA0A80"/>
    <w:rsid w:val="00AA4534"/>
    <w:rsid w:val="00AF70E0"/>
    <w:rsid w:val="00B81214"/>
    <w:rsid w:val="00C51BB6"/>
    <w:rsid w:val="00C566FF"/>
    <w:rsid w:val="00C90D9F"/>
    <w:rsid w:val="00D23A5B"/>
    <w:rsid w:val="00D346CB"/>
    <w:rsid w:val="00D43BC4"/>
    <w:rsid w:val="00D56004"/>
    <w:rsid w:val="00D80CE3"/>
    <w:rsid w:val="00E92A42"/>
    <w:rsid w:val="00F17527"/>
    <w:rsid w:val="00F21519"/>
    <w:rsid w:val="00F6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E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0D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0DEF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330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30DEF"/>
    <w:rPr>
      <w:rFonts w:ascii="Courier New" w:hAnsi="Courier New" w:cs="Courier New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rsid w:val="00330DEF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0DEF"/>
    <w:rPr>
      <w:rFonts w:ascii="Times New Roman" w:hAnsi="Times New Roman" w:cs="Times New Roman"/>
      <w:sz w:val="22"/>
      <w:lang w:val="en-US" w:eastAsia="en-US" w:bidi="ar-SA"/>
    </w:rPr>
  </w:style>
  <w:style w:type="paragraph" w:customStyle="1" w:styleId="BodyTextBullet">
    <w:name w:val="Body Text Bullet"/>
    <w:uiPriority w:val="99"/>
    <w:rsid w:val="00330DEF"/>
    <w:pPr>
      <w:keepLines/>
      <w:numPr>
        <w:numId w:val="2"/>
      </w:numPr>
      <w:ind w:left="360" w:hanging="360"/>
    </w:pPr>
    <w:rPr>
      <w:rFonts w:ascii="Times New Roman" w:eastAsia="Times New Roman" w:hAnsi="Times New Roman"/>
      <w:szCs w:val="20"/>
    </w:rPr>
  </w:style>
  <w:style w:type="paragraph" w:customStyle="1" w:styleId="BodytextwSpaceafter">
    <w:name w:val="Body text w/ Space after"/>
    <w:basedOn w:val="BodyText"/>
    <w:uiPriority w:val="99"/>
    <w:rsid w:val="00330DEF"/>
    <w:pPr>
      <w:spacing w:after="40"/>
    </w:pPr>
  </w:style>
  <w:style w:type="character" w:styleId="Hyperlink">
    <w:name w:val="Hyperlink"/>
    <w:basedOn w:val="DefaultParagraphFont"/>
    <w:uiPriority w:val="99"/>
    <w:rsid w:val="00F17527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F6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A527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AA0A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E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0D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0DEF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330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30DEF"/>
    <w:rPr>
      <w:rFonts w:ascii="Courier New" w:hAnsi="Courier New" w:cs="Courier New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rsid w:val="00330DEF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0DEF"/>
    <w:rPr>
      <w:rFonts w:ascii="Times New Roman" w:hAnsi="Times New Roman" w:cs="Times New Roman"/>
      <w:sz w:val="22"/>
      <w:lang w:val="en-US" w:eastAsia="en-US" w:bidi="ar-SA"/>
    </w:rPr>
  </w:style>
  <w:style w:type="paragraph" w:customStyle="1" w:styleId="BodyTextBullet">
    <w:name w:val="Body Text Bullet"/>
    <w:uiPriority w:val="99"/>
    <w:rsid w:val="00330DEF"/>
    <w:pPr>
      <w:keepLines/>
      <w:numPr>
        <w:numId w:val="2"/>
      </w:numPr>
      <w:ind w:left="360" w:hanging="360"/>
    </w:pPr>
    <w:rPr>
      <w:rFonts w:ascii="Times New Roman" w:eastAsia="Times New Roman" w:hAnsi="Times New Roman"/>
      <w:szCs w:val="20"/>
    </w:rPr>
  </w:style>
  <w:style w:type="paragraph" w:customStyle="1" w:styleId="BodytextwSpaceafter">
    <w:name w:val="Body text w/ Space after"/>
    <w:basedOn w:val="BodyText"/>
    <w:uiPriority w:val="99"/>
    <w:rsid w:val="00330DEF"/>
    <w:pPr>
      <w:spacing w:after="40"/>
    </w:pPr>
  </w:style>
  <w:style w:type="character" w:styleId="Hyperlink">
    <w:name w:val="Hyperlink"/>
    <w:basedOn w:val="DefaultParagraphFont"/>
    <w:uiPriority w:val="99"/>
    <w:rsid w:val="00F17527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F6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A527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AA0A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CLM3M - Canadian Law</vt:lpstr>
    </vt:vector>
  </TitlesOfParts>
  <Company>Hewlett-Packard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CLM3M - Canadian Law</dc:title>
  <dc:creator>Amy</dc:creator>
  <cp:lastModifiedBy>Kathryn</cp:lastModifiedBy>
  <cp:revision>2</cp:revision>
  <dcterms:created xsi:type="dcterms:W3CDTF">2016-10-20T00:58:00Z</dcterms:created>
  <dcterms:modified xsi:type="dcterms:W3CDTF">2016-10-20T00:58:00Z</dcterms:modified>
</cp:coreProperties>
</file>