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B7" w:rsidRPr="00F53C5C" w:rsidRDefault="007510EE" w:rsidP="007510EE">
      <w:pPr>
        <w:jc w:val="center"/>
        <w:rPr>
          <w:b/>
          <w:sz w:val="24"/>
          <w:szCs w:val="24"/>
          <w:lang w:val="en-US"/>
        </w:rPr>
      </w:pPr>
      <w:r w:rsidRPr="00F53C5C">
        <w:rPr>
          <w:b/>
          <w:sz w:val="24"/>
          <w:szCs w:val="24"/>
          <w:lang w:val="en-US"/>
        </w:rPr>
        <w:t xml:space="preserve">CLU3M </w:t>
      </w:r>
      <w:r w:rsidR="004B3CB8" w:rsidRPr="00F53C5C">
        <w:rPr>
          <w:b/>
          <w:sz w:val="24"/>
          <w:szCs w:val="24"/>
          <w:lang w:val="en-US"/>
        </w:rPr>
        <w:t>COURSE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2CB7" w:rsidTr="00322CB7">
        <w:tc>
          <w:tcPr>
            <w:tcW w:w="9576" w:type="dxa"/>
            <w:gridSpan w:val="2"/>
          </w:tcPr>
          <w:p w:rsidR="00322CB7" w:rsidRPr="00686BF0" w:rsidRDefault="00DE672F" w:rsidP="00322CB7">
            <w:pPr>
              <w:rPr>
                <w:b/>
                <w:lang w:val="en-US"/>
              </w:rPr>
            </w:pPr>
            <w:r w:rsidRPr="00686BF0">
              <w:rPr>
                <w:b/>
                <w:lang w:val="en-US"/>
              </w:rPr>
              <w:t>Course and Contact Information</w:t>
            </w:r>
          </w:p>
        </w:tc>
      </w:tr>
      <w:tr w:rsidR="00DE672F" w:rsidRPr="00DE672F" w:rsidTr="00DE672F">
        <w:tc>
          <w:tcPr>
            <w:tcW w:w="4788" w:type="dxa"/>
          </w:tcPr>
          <w:p w:rsidR="00DE672F" w:rsidRPr="00686BF0" w:rsidRDefault="00DE672F" w:rsidP="00322CB7">
            <w:pPr>
              <w:rPr>
                <w:sz w:val="18"/>
                <w:szCs w:val="18"/>
                <w:lang w:val="en-US"/>
              </w:rPr>
            </w:pPr>
            <w:r w:rsidRPr="00686BF0">
              <w:rPr>
                <w:b/>
                <w:sz w:val="18"/>
                <w:szCs w:val="18"/>
                <w:lang w:val="en-US"/>
              </w:rPr>
              <w:t xml:space="preserve">Course Title:  </w:t>
            </w:r>
            <w:r w:rsidR="00B02541">
              <w:rPr>
                <w:sz w:val="18"/>
                <w:szCs w:val="18"/>
                <w:lang w:val="en-US"/>
              </w:rPr>
              <w:t>Understanding Canadian Law</w:t>
            </w:r>
          </w:p>
          <w:p w:rsidR="00DE672F" w:rsidRPr="00B02541" w:rsidRDefault="00DE672F" w:rsidP="00322CB7">
            <w:pPr>
              <w:rPr>
                <w:sz w:val="18"/>
                <w:szCs w:val="18"/>
              </w:rPr>
            </w:pPr>
            <w:r w:rsidRPr="00B02541">
              <w:rPr>
                <w:b/>
                <w:sz w:val="18"/>
                <w:szCs w:val="18"/>
              </w:rPr>
              <w:t xml:space="preserve">Course Code:  </w:t>
            </w:r>
            <w:r w:rsidR="00B02541" w:rsidRPr="00B02541">
              <w:rPr>
                <w:sz w:val="18"/>
                <w:szCs w:val="18"/>
              </w:rPr>
              <w:t>CLU</w:t>
            </w:r>
            <w:r w:rsidR="004D6FCA" w:rsidRPr="00B02541">
              <w:rPr>
                <w:sz w:val="18"/>
                <w:szCs w:val="18"/>
              </w:rPr>
              <w:t xml:space="preserve"> 3M1/6</w:t>
            </w:r>
          </w:p>
          <w:p w:rsidR="004D6FCA" w:rsidRPr="006B49EE" w:rsidRDefault="004D6FCA" w:rsidP="00322CB7">
            <w:pPr>
              <w:rPr>
                <w:sz w:val="18"/>
                <w:szCs w:val="18"/>
              </w:rPr>
            </w:pPr>
            <w:r w:rsidRPr="006B49EE">
              <w:rPr>
                <w:b/>
                <w:sz w:val="18"/>
                <w:szCs w:val="18"/>
              </w:rPr>
              <w:t xml:space="preserve">Grade:  </w:t>
            </w:r>
            <w:r w:rsidRPr="006B49EE">
              <w:rPr>
                <w:sz w:val="18"/>
                <w:szCs w:val="18"/>
              </w:rPr>
              <w:t>11</w:t>
            </w:r>
          </w:p>
          <w:p w:rsidR="004D6FCA" w:rsidRDefault="004D6FCA" w:rsidP="00322C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Credit Value:  </w:t>
            </w:r>
            <w:r>
              <w:rPr>
                <w:sz w:val="18"/>
                <w:szCs w:val="18"/>
              </w:rPr>
              <w:t>1</w:t>
            </w:r>
          </w:p>
          <w:p w:rsidR="004D6FCA" w:rsidRPr="004D6FCA" w:rsidRDefault="004D6FCA" w:rsidP="00322C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Level:  </w:t>
            </w:r>
            <w:r>
              <w:rPr>
                <w:sz w:val="18"/>
                <w:szCs w:val="18"/>
              </w:rPr>
              <w:t>Academic/Gifted</w:t>
            </w:r>
          </w:p>
          <w:p w:rsidR="00DE672F" w:rsidRPr="00686BF0" w:rsidRDefault="0057052B" w:rsidP="00322C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Academic Year : </w:t>
            </w:r>
            <w:r w:rsidR="00210D83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-2017</w:t>
            </w:r>
          </w:p>
          <w:p w:rsidR="00D525F4" w:rsidRPr="004D6FCA" w:rsidRDefault="00D525F4" w:rsidP="004D6FC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4D6FCA" w:rsidRPr="00686BF0" w:rsidRDefault="004D6FCA" w:rsidP="004D6F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  <w:r w:rsidRPr="00686BF0">
              <w:rPr>
                <w:b/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History</w:t>
            </w:r>
          </w:p>
          <w:p w:rsidR="004D6FCA" w:rsidRDefault="004D6FCA" w:rsidP="004D6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Curriculum Leader:  </w:t>
            </w: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Dingwall</w:t>
            </w:r>
            <w:proofErr w:type="spellEnd"/>
            <w:r w:rsidRPr="00686BF0">
              <w:rPr>
                <w:b/>
                <w:sz w:val="18"/>
                <w:szCs w:val="18"/>
              </w:rPr>
              <w:t xml:space="preserve"> </w:t>
            </w:r>
          </w:p>
          <w:p w:rsidR="004D6FCA" w:rsidRPr="00242AE0" w:rsidRDefault="004D6FCA" w:rsidP="004D6FCA">
            <w:pPr>
              <w:rPr>
                <w:sz w:val="18"/>
                <w:szCs w:val="18"/>
              </w:rPr>
            </w:pPr>
            <w:r w:rsidRPr="00686BF0">
              <w:rPr>
                <w:b/>
                <w:sz w:val="18"/>
                <w:szCs w:val="18"/>
              </w:rPr>
              <w:t>Teacher</w:t>
            </w:r>
            <w:r>
              <w:rPr>
                <w:b/>
                <w:sz w:val="18"/>
                <w:szCs w:val="18"/>
              </w:rPr>
              <w:t>s</w:t>
            </w:r>
            <w:r w:rsidRPr="00686BF0">
              <w:rPr>
                <w:b/>
                <w:sz w:val="18"/>
                <w:szCs w:val="18"/>
              </w:rPr>
              <w:t xml:space="preserve"> :  </w:t>
            </w:r>
            <w:r w:rsidR="007510EE">
              <w:rPr>
                <w:sz w:val="18"/>
                <w:szCs w:val="18"/>
              </w:rPr>
              <w:t xml:space="preserve">Ms. </w:t>
            </w:r>
            <w:proofErr w:type="spellStart"/>
            <w:r w:rsidR="007510EE">
              <w:rPr>
                <w:sz w:val="18"/>
                <w:szCs w:val="18"/>
              </w:rPr>
              <w:t>Hibbert</w:t>
            </w:r>
            <w:proofErr w:type="spellEnd"/>
            <w:r w:rsidR="0057052B">
              <w:rPr>
                <w:sz w:val="18"/>
                <w:szCs w:val="18"/>
              </w:rPr>
              <w:t xml:space="preserve"> &amp; Mr. </w:t>
            </w:r>
            <w:proofErr w:type="spellStart"/>
            <w:r w:rsidR="0057052B">
              <w:rPr>
                <w:sz w:val="18"/>
                <w:szCs w:val="18"/>
              </w:rPr>
              <w:t>Maltarec</w:t>
            </w:r>
            <w:proofErr w:type="spellEnd"/>
          </w:p>
          <w:p w:rsidR="00210D83" w:rsidRPr="0057052B" w:rsidRDefault="00DE672F" w:rsidP="0057052B">
            <w:pPr>
              <w:rPr>
                <w:rStyle w:val="Hyperlink"/>
                <w:color w:val="0000CC"/>
                <w:sz w:val="18"/>
                <w:szCs w:val="18"/>
              </w:rPr>
            </w:pPr>
            <w:r w:rsidRPr="005A3852">
              <w:rPr>
                <w:b/>
                <w:sz w:val="18"/>
                <w:szCs w:val="18"/>
              </w:rPr>
              <w:t>Email Contact</w:t>
            </w:r>
            <w:r w:rsidR="00D331EF">
              <w:rPr>
                <w:b/>
                <w:sz w:val="18"/>
                <w:szCs w:val="18"/>
              </w:rPr>
              <w:t>s</w:t>
            </w:r>
            <w:r w:rsidR="00B02541">
              <w:rPr>
                <w:b/>
                <w:sz w:val="18"/>
                <w:szCs w:val="18"/>
              </w:rPr>
              <w:t xml:space="preserve">: </w:t>
            </w:r>
            <w:hyperlink r:id="rId10" w:history="1">
              <w:r w:rsidR="00210D83" w:rsidRPr="0057052B">
                <w:rPr>
                  <w:rStyle w:val="Hyperlink"/>
                  <w:color w:val="0000CC"/>
                  <w:sz w:val="18"/>
                  <w:szCs w:val="18"/>
                </w:rPr>
                <w:t>breesheykathryn.hibbert@tdsb.on.ca</w:t>
              </w:r>
            </w:hyperlink>
          </w:p>
          <w:p w:rsidR="0057052B" w:rsidRPr="0057052B" w:rsidRDefault="0057052B" w:rsidP="0057052B">
            <w:pPr>
              <w:rPr>
                <w:rFonts w:ascii="Segoe UI" w:hAnsi="Segoe UI" w:cs="Segoe UI"/>
                <w:color w:val="0000CC"/>
                <w:sz w:val="20"/>
                <w:szCs w:val="20"/>
                <w:shd w:val="clear" w:color="auto" w:fill="FFFFFF"/>
              </w:rPr>
            </w:pPr>
            <w:r w:rsidRPr="0057052B">
              <w:rPr>
                <w:color w:val="0000CC"/>
                <w:sz w:val="18"/>
                <w:szCs w:val="18"/>
              </w:rPr>
              <w:t xml:space="preserve">                             </w:t>
            </w:r>
            <w:hyperlink r:id="rId11" w:history="1">
              <w:r w:rsidRPr="0057052B">
                <w:rPr>
                  <w:rStyle w:val="Hyperlink"/>
                  <w:color w:val="0000CC"/>
                  <w:sz w:val="18"/>
                  <w:szCs w:val="18"/>
                </w:rPr>
                <w:t>damir.maltarec@tdsb.on.ca</w:t>
              </w:r>
            </w:hyperlink>
          </w:p>
          <w:p w:rsidR="00210D83" w:rsidRPr="00014DE7" w:rsidRDefault="00210D83" w:rsidP="00B02541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E672F" w:rsidRPr="00686BF0" w:rsidRDefault="00DE672F" w:rsidP="00322CB7">
            <w:pPr>
              <w:rPr>
                <w:sz w:val="18"/>
                <w:szCs w:val="18"/>
              </w:rPr>
            </w:pPr>
            <w:r w:rsidRPr="00686BF0">
              <w:rPr>
                <w:b/>
                <w:sz w:val="18"/>
                <w:szCs w:val="18"/>
              </w:rPr>
              <w:t xml:space="preserve">Telephone Contact :  </w:t>
            </w:r>
            <w:r w:rsidR="0057052B">
              <w:rPr>
                <w:sz w:val="18"/>
                <w:szCs w:val="18"/>
              </w:rPr>
              <w:t>416 393-</w:t>
            </w:r>
            <w:r w:rsidRPr="00686BF0">
              <w:rPr>
                <w:sz w:val="18"/>
                <w:szCs w:val="18"/>
              </w:rPr>
              <w:t xml:space="preserve">0284 </w:t>
            </w:r>
            <w:proofErr w:type="spellStart"/>
            <w:r w:rsidRPr="00686BF0">
              <w:rPr>
                <w:sz w:val="18"/>
                <w:szCs w:val="18"/>
              </w:rPr>
              <w:t>ext</w:t>
            </w:r>
            <w:proofErr w:type="spellEnd"/>
            <w:r w:rsidRPr="00686BF0">
              <w:rPr>
                <w:sz w:val="18"/>
                <w:szCs w:val="18"/>
              </w:rPr>
              <w:t xml:space="preserve"> (20085)</w:t>
            </w:r>
          </w:p>
          <w:p w:rsidR="00DE672F" w:rsidRPr="00686BF0" w:rsidRDefault="0057052B" w:rsidP="00322CB7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 w:rsidR="008269C4">
              <w:rPr>
                <w:b/>
                <w:i/>
                <w:sz w:val="18"/>
                <w:szCs w:val="18"/>
              </w:rPr>
              <w:t>Email Preferred</w:t>
            </w:r>
          </w:p>
        </w:tc>
      </w:tr>
    </w:tbl>
    <w:p w:rsidR="00566079" w:rsidRDefault="00566079" w:rsidP="0042601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6017" w:rsidTr="00426017">
        <w:tc>
          <w:tcPr>
            <w:tcW w:w="9576" w:type="dxa"/>
          </w:tcPr>
          <w:p w:rsidR="00426017" w:rsidRPr="00686BF0" w:rsidRDefault="00D525F4" w:rsidP="00426017">
            <w:pPr>
              <w:rPr>
                <w:b/>
              </w:rPr>
            </w:pPr>
            <w:r>
              <w:rPr>
                <w:b/>
              </w:rPr>
              <w:t>Course Summary</w:t>
            </w:r>
          </w:p>
        </w:tc>
      </w:tr>
      <w:tr w:rsidR="00426017" w:rsidTr="00426017">
        <w:tc>
          <w:tcPr>
            <w:tcW w:w="9576" w:type="dxa"/>
          </w:tcPr>
          <w:p w:rsidR="00847FB8" w:rsidRPr="00210D83" w:rsidRDefault="00210D83" w:rsidP="0057052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D83">
              <w:rPr>
                <w:sz w:val="20"/>
                <w:szCs w:val="20"/>
              </w:rPr>
              <w:t>This course explores Canadian law, with a focus on legal issues that are relevant to the lives of people in Canada. Students will gain an u</w:t>
            </w:r>
            <w:r w:rsidR="0057052B">
              <w:rPr>
                <w:sz w:val="20"/>
                <w:szCs w:val="20"/>
              </w:rPr>
              <w:t xml:space="preserve">nderstanding of </w:t>
            </w:r>
            <w:r w:rsidR="0057052B" w:rsidRPr="00210D83">
              <w:rPr>
                <w:sz w:val="20"/>
                <w:szCs w:val="20"/>
              </w:rPr>
              <w:t>our legal system</w:t>
            </w:r>
            <w:r w:rsidR="0057052B">
              <w:rPr>
                <w:sz w:val="20"/>
                <w:szCs w:val="20"/>
              </w:rPr>
              <w:t xml:space="preserve"> and how it developed; </w:t>
            </w:r>
            <w:r w:rsidRPr="00210D83">
              <w:rPr>
                <w:sz w:val="20"/>
                <w:szCs w:val="20"/>
              </w:rPr>
              <w:t xml:space="preserve">rights and freedoms </w:t>
            </w:r>
            <w:r w:rsidR="0057052B">
              <w:rPr>
                <w:sz w:val="20"/>
                <w:szCs w:val="20"/>
              </w:rPr>
              <w:t xml:space="preserve">in Canada; </w:t>
            </w:r>
            <w:r w:rsidR="0057052B" w:rsidRPr="00210D83">
              <w:rPr>
                <w:sz w:val="20"/>
                <w:szCs w:val="20"/>
              </w:rPr>
              <w:t>criminal law</w:t>
            </w:r>
            <w:r w:rsidR="0057052B">
              <w:rPr>
                <w:sz w:val="20"/>
                <w:szCs w:val="20"/>
              </w:rPr>
              <w:t>; civil law, including tort, contract, and family law</w:t>
            </w:r>
            <w:r w:rsidRPr="00210D83">
              <w:rPr>
                <w:sz w:val="20"/>
                <w:szCs w:val="20"/>
              </w:rPr>
              <w:t xml:space="preserve">. Students will develop legal reasoning skills and will apply the concepts of legal thinking and the legal studies inquiry process when investigating a range of legal issues and formulating and communicating informed opinions about them. Students are expected to </w:t>
            </w:r>
            <w:r w:rsidR="00B02541" w:rsidRPr="00210D83">
              <w:rPr>
                <w:rFonts w:cstheme="minorHAnsi"/>
                <w:sz w:val="20"/>
                <w:szCs w:val="20"/>
              </w:rPr>
              <w:t>apply this knowledge in a variety of ways and settings including case analysis, legal research projects, negot</w:t>
            </w:r>
            <w:r w:rsidR="0057052B">
              <w:rPr>
                <w:rFonts w:cstheme="minorHAnsi"/>
                <w:sz w:val="20"/>
                <w:szCs w:val="20"/>
              </w:rPr>
              <w:t>iation role play</w:t>
            </w:r>
            <w:r w:rsidR="00B02541" w:rsidRPr="00210D83">
              <w:rPr>
                <w:rFonts w:cstheme="minorHAnsi"/>
                <w:sz w:val="20"/>
                <w:szCs w:val="20"/>
              </w:rPr>
              <w:t xml:space="preserve">, </w:t>
            </w:r>
            <w:r w:rsidR="0057052B">
              <w:rPr>
                <w:rFonts w:cstheme="minorHAnsi"/>
                <w:sz w:val="20"/>
                <w:szCs w:val="20"/>
              </w:rPr>
              <w:t>debates, and mock trials.</w:t>
            </w:r>
            <w:r w:rsidR="00B02541" w:rsidRPr="00210D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566079" w:rsidRDefault="00566079" w:rsidP="0042601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079" w:rsidTr="00E468C8">
        <w:tc>
          <w:tcPr>
            <w:tcW w:w="9576" w:type="dxa"/>
          </w:tcPr>
          <w:p w:rsidR="00566079" w:rsidRPr="00566079" w:rsidRDefault="00566079" w:rsidP="00E468C8">
            <w:pPr>
              <w:rPr>
                <w:b/>
              </w:rPr>
            </w:pPr>
            <w:r w:rsidRPr="00566079">
              <w:rPr>
                <w:b/>
              </w:rPr>
              <w:t>Overall Expectations</w:t>
            </w:r>
          </w:p>
        </w:tc>
      </w:tr>
      <w:tr w:rsidR="00566079" w:rsidTr="00E468C8">
        <w:tc>
          <w:tcPr>
            <w:tcW w:w="9576" w:type="dxa"/>
          </w:tcPr>
          <w:p w:rsidR="0021618C" w:rsidRPr="0057052B" w:rsidRDefault="00566079" w:rsidP="0057052B">
            <w:pPr>
              <w:rPr>
                <w:sz w:val="16"/>
                <w:szCs w:val="16"/>
              </w:rPr>
            </w:pPr>
            <w:r w:rsidRPr="00DB7629">
              <w:rPr>
                <w:rFonts w:cstheme="minorHAnsi"/>
                <w:sz w:val="16"/>
                <w:szCs w:val="16"/>
              </w:rPr>
              <w:t>By the end of this course, students will:</w:t>
            </w:r>
            <w:r w:rsidR="00C37AC8">
              <w:rPr>
                <w:rFonts w:cstheme="minorHAnsi"/>
                <w:sz w:val="16"/>
                <w:szCs w:val="16"/>
              </w:rPr>
              <w:t xml:space="preserve"> </w:t>
            </w:r>
            <w:r w:rsidR="007510EE" w:rsidRPr="00622663">
              <w:rPr>
                <w:sz w:val="16"/>
                <w:szCs w:val="16"/>
              </w:rPr>
              <w:t>use the legal studies inquiry process and the concepts of legal thinking when investigating law and legal issues in Canada;  apply in everyday contexts skills developed through the study of law, and identify careers in which a background in law might be an asset;  explain the role and importance of law and the fundamental principles of justice in Canada;  demonstrate an understanding of early laws and legal systems and their relationship to the Canadian legal system;  analyse the role and function of individuals, groups, and governments in Canadian law;  analyse and describe how various social, scientific, and technological factors have influenced and continue to influence the development of Canadian law;  explain the legal significance of the Canadian Bill of Rights, the Ontario Human Rights Code, the Canadian Charter of Rights and Freedoms, and the Canadian Human Rights Act;  analyse how various factors have influenced and continue to influence the development of human rights law in Ontario and Canada;  analyse the relationship between the formal, legal recognition of rights and freedoms in Canada and how those rights are interpreted and protected in practice;  analyse situations in which it may be appropriate to limit rights and freedoms, and explain the arguments for and against such limitations;  analyse the legal foundations of tort law; the factors influencing its development; and the role of individuals, groups, and courts in its processes;  analyse the legal foundations of family law; the factors influencing its development; and the role of individuals, governments, and courts in its processes;  analyse the legal foundations of employment law; the factors influencing its development; and the role of employers, employees, and the courts in its processes;  analyse the legal foundations of contract law; the factors influencing its development; and the role of individuals, groups, and the courts in its processes;  explain the foundational concepts of criminal law and their legal significance;  describe the structures and key roles and processes of the Canadian criminal justice system and explain key interrelationships among them;  assess the ability of the Canadian criminal justice system to provide appropriate and even-handed justice to people living in Canada;  analyse how various factors have influenced the development of Canadian criminal law</w:t>
            </w:r>
            <w:r w:rsidR="007510EE">
              <w:rPr>
                <w:sz w:val="16"/>
                <w:szCs w:val="16"/>
              </w:rPr>
              <w:t>.</w:t>
            </w:r>
          </w:p>
        </w:tc>
      </w:tr>
    </w:tbl>
    <w:p w:rsidR="00566079" w:rsidRDefault="00566079" w:rsidP="0042601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605" w:rsidTr="001F4605">
        <w:tc>
          <w:tcPr>
            <w:tcW w:w="4788" w:type="dxa"/>
          </w:tcPr>
          <w:p w:rsidR="001F4605" w:rsidRPr="00686BF0" w:rsidRDefault="001F4605" w:rsidP="00426017">
            <w:pPr>
              <w:rPr>
                <w:b/>
              </w:rPr>
            </w:pPr>
            <w:r w:rsidRPr="00686BF0">
              <w:rPr>
                <w:b/>
              </w:rPr>
              <w:t>Late Assignments</w:t>
            </w:r>
          </w:p>
        </w:tc>
        <w:tc>
          <w:tcPr>
            <w:tcW w:w="4788" w:type="dxa"/>
          </w:tcPr>
          <w:p w:rsidR="001F4605" w:rsidRPr="00686BF0" w:rsidRDefault="001F4605" w:rsidP="00426017">
            <w:pPr>
              <w:rPr>
                <w:b/>
              </w:rPr>
            </w:pPr>
            <w:r w:rsidRPr="00686BF0">
              <w:rPr>
                <w:b/>
              </w:rPr>
              <w:t>Missed Tests</w:t>
            </w:r>
          </w:p>
        </w:tc>
      </w:tr>
      <w:tr w:rsidR="001F4605" w:rsidTr="00C11A25">
        <w:trPr>
          <w:trHeight w:val="260"/>
        </w:trPr>
        <w:tc>
          <w:tcPr>
            <w:tcW w:w="4788" w:type="dxa"/>
          </w:tcPr>
          <w:p w:rsidR="001F4605" w:rsidRPr="004D6FCA" w:rsidRDefault="001F4605" w:rsidP="007A4F18">
            <w:pPr>
              <w:jc w:val="both"/>
              <w:rPr>
                <w:sz w:val="16"/>
                <w:szCs w:val="16"/>
              </w:rPr>
            </w:pPr>
            <w:r w:rsidRPr="004D6FCA">
              <w:rPr>
                <w:sz w:val="16"/>
                <w:szCs w:val="16"/>
              </w:rPr>
              <w:t>Students are responsible for completing and submitting work on time.  Students must make every</w:t>
            </w:r>
            <w:r w:rsidR="007A4F18" w:rsidRPr="004D6FCA">
              <w:rPr>
                <w:sz w:val="16"/>
                <w:szCs w:val="16"/>
              </w:rPr>
              <w:t xml:space="preserve"> effort to abide by due dates.</w:t>
            </w:r>
            <w:r w:rsidRPr="004D6FCA">
              <w:rPr>
                <w:sz w:val="16"/>
                <w:szCs w:val="16"/>
              </w:rPr>
              <w:t xml:space="preserve">  Please refer to the Northern </w:t>
            </w:r>
            <w:r w:rsidR="00C11A25" w:rsidRPr="004D6FCA">
              <w:rPr>
                <w:sz w:val="16"/>
                <w:szCs w:val="16"/>
              </w:rPr>
              <w:t xml:space="preserve">Secondary School </w:t>
            </w:r>
            <w:r w:rsidRPr="004D6FCA">
              <w:rPr>
                <w:sz w:val="16"/>
                <w:szCs w:val="16"/>
              </w:rPr>
              <w:t xml:space="preserve">Agenda regarding evaluation of late assignments.   </w:t>
            </w:r>
          </w:p>
        </w:tc>
        <w:tc>
          <w:tcPr>
            <w:tcW w:w="4788" w:type="dxa"/>
          </w:tcPr>
          <w:p w:rsidR="00C11A25" w:rsidRPr="004D6FCA" w:rsidRDefault="00C11A25" w:rsidP="0057052B">
            <w:pPr>
              <w:jc w:val="both"/>
              <w:rPr>
                <w:sz w:val="16"/>
                <w:szCs w:val="16"/>
              </w:rPr>
            </w:pPr>
            <w:r w:rsidRPr="004D6FCA">
              <w:rPr>
                <w:sz w:val="16"/>
                <w:szCs w:val="16"/>
              </w:rPr>
              <w:t xml:space="preserve">Tests </w:t>
            </w:r>
            <w:r w:rsidR="0036236A">
              <w:rPr>
                <w:sz w:val="16"/>
                <w:szCs w:val="16"/>
              </w:rPr>
              <w:t xml:space="preserve">and presentations </w:t>
            </w:r>
            <w:r w:rsidRPr="004D6FCA">
              <w:rPr>
                <w:sz w:val="16"/>
                <w:szCs w:val="16"/>
              </w:rPr>
              <w:t>wil</w:t>
            </w:r>
            <w:r w:rsidR="00A07177" w:rsidRPr="004D6FCA">
              <w:rPr>
                <w:sz w:val="16"/>
                <w:szCs w:val="16"/>
              </w:rPr>
              <w:t xml:space="preserve">l be scheduled </w:t>
            </w:r>
            <w:r w:rsidRPr="004D6FCA">
              <w:rPr>
                <w:sz w:val="16"/>
                <w:szCs w:val="16"/>
              </w:rPr>
              <w:t xml:space="preserve">in advance and students are expected to make every effort to attend.  If you know you are going to miss a test </w:t>
            </w:r>
            <w:r w:rsidR="0036236A">
              <w:rPr>
                <w:sz w:val="16"/>
                <w:szCs w:val="16"/>
              </w:rPr>
              <w:t xml:space="preserve">or presentation </w:t>
            </w:r>
            <w:r w:rsidRPr="004D6FCA">
              <w:rPr>
                <w:sz w:val="16"/>
                <w:szCs w:val="16"/>
              </w:rPr>
              <w:t>you must discuss your options with your teacher</w:t>
            </w:r>
            <w:r w:rsidR="0057052B">
              <w:rPr>
                <w:sz w:val="16"/>
                <w:szCs w:val="16"/>
              </w:rPr>
              <w:t xml:space="preserve"> in advance</w:t>
            </w:r>
            <w:r w:rsidRPr="004D6FCA">
              <w:rPr>
                <w:sz w:val="16"/>
                <w:szCs w:val="16"/>
              </w:rPr>
              <w:t xml:space="preserve">, otherwise a </w:t>
            </w:r>
            <w:r w:rsidR="0057052B">
              <w:rPr>
                <w:sz w:val="16"/>
                <w:szCs w:val="16"/>
              </w:rPr>
              <w:t xml:space="preserve">mark of zero will be recorded. </w:t>
            </w:r>
            <w:r w:rsidRPr="004D6FCA">
              <w:rPr>
                <w:sz w:val="16"/>
                <w:szCs w:val="16"/>
              </w:rPr>
              <w:t xml:space="preserve">It is </w:t>
            </w:r>
            <w:r w:rsidRPr="0057052B">
              <w:rPr>
                <w:bCs/>
                <w:sz w:val="16"/>
                <w:szCs w:val="16"/>
                <w:u w:val="single"/>
              </w:rPr>
              <w:t>your</w:t>
            </w:r>
            <w:r w:rsidR="0057052B">
              <w:rPr>
                <w:sz w:val="16"/>
                <w:szCs w:val="16"/>
              </w:rPr>
              <w:t xml:space="preserve"> responsibility to make </w:t>
            </w:r>
            <w:r w:rsidRPr="004D6FCA">
              <w:rPr>
                <w:sz w:val="16"/>
                <w:szCs w:val="16"/>
              </w:rPr>
              <w:t>alternate arrangements with your teacher.  If you miss a test</w:t>
            </w:r>
            <w:r w:rsidR="0036236A">
              <w:rPr>
                <w:sz w:val="16"/>
                <w:szCs w:val="16"/>
              </w:rPr>
              <w:t xml:space="preserve"> or presentation</w:t>
            </w:r>
            <w:r w:rsidRPr="004D6FCA">
              <w:rPr>
                <w:sz w:val="16"/>
                <w:szCs w:val="16"/>
              </w:rPr>
              <w:t xml:space="preserve"> due to illness please have a parent</w:t>
            </w:r>
            <w:r w:rsidR="00847FB8" w:rsidRPr="004D6FCA">
              <w:rPr>
                <w:sz w:val="16"/>
                <w:szCs w:val="16"/>
              </w:rPr>
              <w:t xml:space="preserve">/guardian email the teacher.  Also, you must </w:t>
            </w:r>
            <w:r w:rsidRPr="004D6FCA">
              <w:rPr>
                <w:sz w:val="16"/>
                <w:szCs w:val="16"/>
              </w:rPr>
              <w:t>speak to the teach</w:t>
            </w:r>
            <w:r w:rsidR="00847FB8" w:rsidRPr="004D6FCA">
              <w:rPr>
                <w:sz w:val="16"/>
                <w:szCs w:val="16"/>
              </w:rPr>
              <w:t>er upon your return to school to reschedule the evaluation.</w:t>
            </w:r>
          </w:p>
        </w:tc>
      </w:tr>
    </w:tbl>
    <w:p w:rsidR="00566079" w:rsidRDefault="00566079" w:rsidP="0042601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1A25" w:rsidTr="00C11A25">
        <w:tc>
          <w:tcPr>
            <w:tcW w:w="9576" w:type="dxa"/>
          </w:tcPr>
          <w:p w:rsidR="00C11A25" w:rsidRPr="00686BF0" w:rsidRDefault="00C11A25" w:rsidP="00426017">
            <w:pPr>
              <w:rPr>
                <w:b/>
              </w:rPr>
            </w:pPr>
            <w:r w:rsidRPr="00686BF0">
              <w:rPr>
                <w:b/>
              </w:rPr>
              <w:t>Attendance</w:t>
            </w:r>
            <w:r w:rsidR="00D43820" w:rsidRPr="00686BF0">
              <w:rPr>
                <w:b/>
              </w:rPr>
              <w:t xml:space="preserve"> and Punctuality</w:t>
            </w:r>
          </w:p>
        </w:tc>
      </w:tr>
      <w:tr w:rsidR="00C11A25" w:rsidTr="00C11A25">
        <w:tc>
          <w:tcPr>
            <w:tcW w:w="9576" w:type="dxa"/>
          </w:tcPr>
          <w:p w:rsidR="00C11A25" w:rsidRPr="004D6FCA" w:rsidRDefault="00C11A25" w:rsidP="00D43820">
            <w:pPr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4D6FCA">
              <w:rPr>
                <w:rFonts w:ascii="Calibri" w:hAnsi="Calibri"/>
                <w:sz w:val="16"/>
                <w:szCs w:val="16"/>
                <w:lang w:val="en-US"/>
              </w:rPr>
              <w:t>Every class is an opportunity to think, learn and sociali</w:t>
            </w:r>
            <w:r w:rsidR="0057052B">
              <w:rPr>
                <w:rFonts w:ascii="Calibri" w:hAnsi="Calibri"/>
                <w:sz w:val="16"/>
                <w:szCs w:val="16"/>
                <w:lang w:val="en-US"/>
              </w:rPr>
              <w:t xml:space="preserve">ze.  Every class missed is an </w:t>
            </w:r>
            <w:r w:rsidRPr="004D6FCA">
              <w:rPr>
                <w:rFonts w:ascii="Calibri" w:hAnsi="Calibri"/>
                <w:sz w:val="16"/>
                <w:szCs w:val="16"/>
                <w:lang w:val="en-US"/>
              </w:rPr>
              <w:t xml:space="preserve">opportunity lost.  The consistent decision to skip, or arrive late to class, and forgo knowledge and betterment eventually becomes irrevocable.  Though attendance is not worth </w:t>
            </w:r>
            <w:r w:rsidR="0057052B">
              <w:rPr>
                <w:rFonts w:ascii="Calibri" w:hAnsi="Calibri"/>
                <w:sz w:val="16"/>
                <w:szCs w:val="16"/>
                <w:lang w:val="en-US"/>
              </w:rPr>
              <w:t xml:space="preserve">marks, better attendance </w:t>
            </w:r>
            <w:r w:rsidRPr="004D6FCA">
              <w:rPr>
                <w:rFonts w:ascii="Calibri" w:hAnsi="Calibri"/>
                <w:sz w:val="16"/>
                <w:szCs w:val="16"/>
                <w:lang w:val="en-US"/>
              </w:rPr>
              <w:t xml:space="preserve">translates to better grades and a more complete individual.  I suggest that you attend class unless you are quite ill, there is a family emergency or you are excused for school activities.  </w:t>
            </w:r>
          </w:p>
        </w:tc>
      </w:tr>
    </w:tbl>
    <w:p w:rsidR="00566079" w:rsidRDefault="00566079" w:rsidP="0042601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5F89" w:rsidTr="00D65F89">
        <w:tc>
          <w:tcPr>
            <w:tcW w:w="9576" w:type="dxa"/>
          </w:tcPr>
          <w:p w:rsidR="00D65F89" w:rsidRDefault="00D65F89" w:rsidP="0042601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Academic Integrity</w:t>
            </w:r>
          </w:p>
        </w:tc>
      </w:tr>
      <w:tr w:rsidR="00D65F89" w:rsidTr="00D65F89">
        <w:tc>
          <w:tcPr>
            <w:tcW w:w="9576" w:type="dxa"/>
          </w:tcPr>
          <w:p w:rsidR="00D65F89" w:rsidRPr="006D17B4" w:rsidRDefault="00D65F89" w:rsidP="00D65F89">
            <w:pPr>
              <w:jc w:val="both"/>
              <w:rPr>
                <w:color w:val="000000"/>
                <w:sz w:val="18"/>
              </w:rPr>
            </w:pPr>
            <w:r w:rsidRPr="006D17B4">
              <w:rPr>
                <w:iCs/>
                <w:color w:val="000000"/>
                <w:sz w:val="18"/>
                <w:lang w:val="en-US"/>
              </w:rPr>
              <w:t>Ongoing evaluation in a variety of forms provide</w:t>
            </w:r>
            <w:r>
              <w:rPr>
                <w:iCs/>
                <w:color w:val="000000"/>
                <w:sz w:val="18"/>
                <w:lang w:val="en-US"/>
              </w:rPr>
              <w:t>s</w:t>
            </w:r>
            <w:r w:rsidRPr="006D17B4">
              <w:rPr>
                <w:iCs/>
                <w:color w:val="000000"/>
                <w:sz w:val="18"/>
                <w:lang w:val="en-US"/>
              </w:rPr>
              <w:t xml:space="preserve"> students the opportunity to provide evidence of their learning. In order for teachers to accurately assess student learning all tests/exams and assignments must be the student's own work and must be submitted on time. Cheating, plagiarism, not completing work and submitting work late may result in a mark of “0” for part or all of the evaluation opportunity.</w:t>
            </w:r>
            <w:r>
              <w:rPr>
                <w:iCs/>
                <w:color w:val="000000"/>
                <w:sz w:val="18"/>
                <w:lang w:val="en-US"/>
              </w:rPr>
              <w:t xml:space="preserve"> </w:t>
            </w:r>
            <w:r w:rsidRPr="006D17B4">
              <w:rPr>
                <w:iCs/>
                <w:color w:val="000000"/>
                <w:sz w:val="18"/>
                <w:lang w:val="en-US"/>
              </w:rPr>
              <w:t>Consequences will adhere to Northern Secondary School and TDSB policy and will be determined by the student’s teacher, the Curriculum Leader and, at times, the student’s guidance counsellor and Vice-Principal.</w:t>
            </w:r>
          </w:p>
          <w:p w:rsidR="00D65F89" w:rsidRPr="006D17B4" w:rsidRDefault="00D65F89" w:rsidP="00D65F89">
            <w:pPr>
              <w:jc w:val="both"/>
              <w:rPr>
                <w:color w:val="000000"/>
                <w:sz w:val="18"/>
              </w:rPr>
            </w:pPr>
            <w:r w:rsidRPr="006D17B4">
              <w:rPr>
                <w:iCs/>
                <w:color w:val="000000"/>
                <w:sz w:val="18"/>
                <w:lang w:val="en-US"/>
              </w:rPr>
              <w:t> </w:t>
            </w:r>
          </w:p>
          <w:p w:rsidR="00D65F89" w:rsidRDefault="00D65F89" w:rsidP="00D65F89">
            <w:pPr>
              <w:rPr>
                <w:b/>
                <w:sz w:val="24"/>
                <w:szCs w:val="24"/>
              </w:rPr>
            </w:pPr>
            <w:r>
              <w:rPr>
                <w:iCs/>
                <w:color w:val="000000"/>
                <w:sz w:val="18"/>
                <w:lang w:val="en-US"/>
              </w:rPr>
              <w:t>Northern</w:t>
            </w:r>
            <w:r w:rsidRPr="006D17B4">
              <w:rPr>
                <w:iCs/>
                <w:color w:val="000000"/>
                <w:sz w:val="18"/>
                <w:lang w:val="en-US"/>
              </w:rPr>
              <w:t xml:space="preserve"> policies are outlined in the student handbook. Students and their parents should review these policies </w:t>
            </w:r>
            <w:r>
              <w:rPr>
                <w:iCs/>
                <w:color w:val="000000"/>
                <w:sz w:val="18"/>
                <w:lang w:val="en-US"/>
              </w:rPr>
              <w:t>together</w:t>
            </w:r>
            <w:r w:rsidRPr="006D17B4">
              <w:rPr>
                <w:iCs/>
                <w:color w:val="000000"/>
                <w:sz w:val="18"/>
                <w:lang w:val="en-US"/>
              </w:rPr>
              <w:t xml:space="preserve">. Additional resources addressing plagiarism are available from the </w:t>
            </w:r>
            <w:proofErr w:type="spellStart"/>
            <w:r w:rsidRPr="006D17B4">
              <w:rPr>
                <w:iCs/>
                <w:color w:val="000000"/>
                <w:sz w:val="18"/>
                <w:lang w:val="en-US"/>
              </w:rPr>
              <w:t>UofT</w:t>
            </w:r>
            <w:proofErr w:type="spellEnd"/>
            <w:r w:rsidRPr="006D17B4">
              <w:rPr>
                <w:iCs/>
                <w:color w:val="000000"/>
                <w:sz w:val="18"/>
                <w:lang w:val="en-US"/>
              </w:rPr>
              <w:t xml:space="preserve"> Writing Centre </w:t>
            </w:r>
            <w:proofErr w:type="gramStart"/>
            <w:r w:rsidRPr="006D17B4">
              <w:rPr>
                <w:iCs/>
                <w:color w:val="000000"/>
                <w:sz w:val="18"/>
                <w:lang w:val="en-US"/>
              </w:rPr>
              <w:t>at  </w:t>
            </w:r>
            <w:proofErr w:type="gramEnd"/>
            <w:r>
              <w:fldChar w:fldCharType="begin"/>
            </w:r>
            <w:r>
              <w:instrText xml:space="preserve"> HYPERLINK "https://webmail.tdsb.on.ca/owa/redir.aspx?C=vQmfkwZmkk65v0W3MIddp5RhOkNzltEI6IZSWJ8dcDrcsvB8CUtKZmXScdxhHP6WFiCGAJhma58.&amp;URL=http%3a%2f%2fwww.writing.utoronto.ca%2fadvice%2fusing-sources" \t "_blank" </w:instrText>
            </w:r>
            <w:r>
              <w:fldChar w:fldCharType="separate"/>
            </w:r>
            <w:r w:rsidRPr="006D17B4">
              <w:rPr>
                <w:rStyle w:val="Hyperlink"/>
                <w:iCs/>
                <w:sz w:val="18"/>
                <w:lang w:val="en-US"/>
              </w:rPr>
              <w:t>http://www.writing.utoronto.ca/advice/using-sources</w:t>
            </w:r>
            <w:r>
              <w:rPr>
                <w:rStyle w:val="Hyperlink"/>
                <w:iCs/>
                <w:sz w:val="18"/>
                <w:lang w:val="en-US"/>
              </w:rPr>
              <w:fldChar w:fldCharType="end"/>
            </w:r>
            <w:r w:rsidRPr="006D17B4">
              <w:rPr>
                <w:iCs/>
                <w:color w:val="000000"/>
                <w:sz w:val="18"/>
                <w:lang w:val="en-US"/>
              </w:rPr>
              <w:t xml:space="preserve">. </w:t>
            </w:r>
            <w:r>
              <w:rPr>
                <w:iCs/>
                <w:color w:val="000000"/>
                <w:sz w:val="18"/>
                <w:lang w:val="en-US"/>
              </w:rPr>
              <w:t>S</w:t>
            </w:r>
            <w:r w:rsidRPr="006D17B4">
              <w:rPr>
                <w:iCs/>
                <w:color w:val="000000"/>
                <w:sz w:val="18"/>
                <w:lang w:val="en-US"/>
              </w:rPr>
              <w:t xml:space="preserve">tudents and their parents </w:t>
            </w:r>
            <w:r>
              <w:rPr>
                <w:iCs/>
                <w:color w:val="000000"/>
                <w:sz w:val="18"/>
                <w:lang w:val="en-US"/>
              </w:rPr>
              <w:t xml:space="preserve">should </w:t>
            </w:r>
            <w:r w:rsidRPr="006D17B4">
              <w:rPr>
                <w:iCs/>
                <w:color w:val="000000"/>
                <w:sz w:val="18"/>
                <w:lang w:val="en-US"/>
              </w:rPr>
              <w:t>pay particular attention to the Writing Centre’s “How Not To Plagiarize”</w:t>
            </w:r>
            <w:r w:rsidRPr="006D17B4">
              <w:rPr>
                <w:rStyle w:val="apple-converted-space"/>
                <w:iCs/>
                <w:color w:val="000000"/>
                <w:sz w:val="18"/>
                <w:lang w:val="en-US"/>
              </w:rPr>
              <w:t> </w:t>
            </w:r>
            <w:hyperlink r:id="rId12" w:tgtFrame="_blank" w:history="1">
              <w:r w:rsidRPr="006D17B4">
                <w:rPr>
                  <w:rStyle w:val="Hyperlink"/>
                  <w:iCs/>
                  <w:sz w:val="18"/>
                  <w:lang w:val="en-US"/>
                </w:rPr>
                <w:t>http://www.writing.utoronto.ca/advice/using-sources/how-not-to-plagiarize</w:t>
              </w:r>
            </w:hyperlink>
          </w:p>
        </w:tc>
      </w:tr>
    </w:tbl>
    <w:p w:rsidR="00D65F89" w:rsidRPr="00CE550D" w:rsidRDefault="00D65F89" w:rsidP="00426017">
      <w:pPr>
        <w:spacing w:after="0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6079" w:rsidTr="00566079">
        <w:tc>
          <w:tcPr>
            <w:tcW w:w="9576" w:type="dxa"/>
          </w:tcPr>
          <w:p w:rsidR="00566079" w:rsidRPr="00566079" w:rsidRDefault="00566079" w:rsidP="00426017">
            <w:pPr>
              <w:rPr>
                <w:b/>
              </w:rPr>
            </w:pPr>
            <w:r w:rsidRPr="00566079">
              <w:rPr>
                <w:b/>
              </w:rPr>
              <w:t>Course Materials</w:t>
            </w:r>
          </w:p>
        </w:tc>
      </w:tr>
      <w:tr w:rsidR="00566079" w:rsidTr="00566079">
        <w:tc>
          <w:tcPr>
            <w:tcW w:w="9576" w:type="dxa"/>
          </w:tcPr>
          <w:p w:rsidR="00566079" w:rsidRPr="004D6FCA" w:rsidRDefault="00566079" w:rsidP="00426017">
            <w:pPr>
              <w:rPr>
                <w:rFonts w:cstheme="minorHAnsi"/>
                <w:b/>
                <w:sz w:val="16"/>
                <w:szCs w:val="16"/>
              </w:rPr>
            </w:pPr>
            <w:r w:rsidRPr="004D6FCA">
              <w:rPr>
                <w:rFonts w:cstheme="minorHAnsi"/>
                <w:b/>
                <w:sz w:val="16"/>
                <w:szCs w:val="16"/>
              </w:rPr>
              <w:t xml:space="preserve">Text:  </w:t>
            </w:r>
          </w:p>
          <w:p w:rsidR="00566079" w:rsidRPr="0036236A" w:rsidRDefault="00691C43" w:rsidP="0036236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Blair</w:t>
            </w:r>
            <w:r w:rsidR="005073B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5073B5">
              <w:rPr>
                <w:rFonts w:cstheme="minorHAnsi"/>
                <w:sz w:val="16"/>
                <w:szCs w:val="16"/>
              </w:rPr>
              <w:t>Annice</w:t>
            </w:r>
            <w:proofErr w:type="spellEnd"/>
            <w:r w:rsidR="005073B5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5073B5">
              <w:rPr>
                <w:rFonts w:cstheme="minorHAnsi"/>
                <w:sz w:val="16"/>
                <w:szCs w:val="16"/>
              </w:rPr>
              <w:t>Costiniuk</w:t>
            </w:r>
            <w:proofErr w:type="spellEnd"/>
            <w:r w:rsidR="005073B5">
              <w:rPr>
                <w:rFonts w:cstheme="minorHAnsi"/>
                <w:sz w:val="16"/>
                <w:szCs w:val="16"/>
              </w:rPr>
              <w:t xml:space="preserve">, W, Moles, G, O’Malley, L, and Wasserman, </w:t>
            </w:r>
            <w:proofErr w:type="gramStart"/>
            <w:r w:rsidR="005073B5">
              <w:rPr>
                <w:rFonts w:cstheme="minorHAnsi"/>
                <w:sz w:val="16"/>
                <w:szCs w:val="16"/>
              </w:rPr>
              <w:t xml:space="preserve">A </w:t>
            </w:r>
            <w:r w:rsidR="0021618C" w:rsidRPr="004D6FCA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="0021618C" w:rsidRPr="004D6F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Law in Action: Understanding Canadian Law</w:t>
            </w:r>
            <w:r w:rsidR="0021618C" w:rsidRPr="004D6FCA">
              <w:rPr>
                <w:rFonts w:cstheme="minorHAnsi"/>
                <w:sz w:val="16"/>
                <w:szCs w:val="16"/>
              </w:rPr>
              <w:t xml:space="preserve">. (Toronto: </w:t>
            </w:r>
            <w:r>
              <w:rPr>
                <w:rFonts w:cstheme="minorHAnsi"/>
                <w:sz w:val="16"/>
                <w:szCs w:val="16"/>
              </w:rPr>
              <w:t>Pearson</w:t>
            </w:r>
            <w:r w:rsidR="005073B5">
              <w:rPr>
                <w:rFonts w:cstheme="minorHAnsi"/>
                <w:sz w:val="16"/>
                <w:szCs w:val="16"/>
              </w:rPr>
              <w:t>, 2009</w:t>
            </w:r>
            <w:r w:rsidR="0021618C" w:rsidRPr="004D6FCA">
              <w:rPr>
                <w:rFonts w:cstheme="minorHAnsi"/>
                <w:sz w:val="16"/>
                <w:szCs w:val="16"/>
              </w:rPr>
              <w:t>).  Replacement cost to student: $</w:t>
            </w:r>
            <w:r w:rsidR="005073B5">
              <w:rPr>
                <w:rFonts w:cstheme="minorHAnsi"/>
                <w:sz w:val="16"/>
                <w:szCs w:val="16"/>
              </w:rPr>
              <w:t>96.50</w:t>
            </w:r>
          </w:p>
        </w:tc>
      </w:tr>
    </w:tbl>
    <w:p w:rsidR="00D65F89" w:rsidRPr="00CE550D" w:rsidRDefault="00D65F89" w:rsidP="00426017">
      <w:pPr>
        <w:spacing w:after="0"/>
        <w:rPr>
          <w:b/>
          <w:sz w:val="36"/>
          <w:szCs w:val="36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410"/>
        <w:gridCol w:w="8163"/>
      </w:tblGrid>
      <w:tr w:rsidR="00DA0356" w:rsidTr="00920199">
        <w:trPr>
          <w:trHeight w:val="279"/>
        </w:trPr>
        <w:tc>
          <w:tcPr>
            <w:tcW w:w="9573" w:type="dxa"/>
            <w:gridSpan w:val="2"/>
          </w:tcPr>
          <w:p w:rsidR="00DA0356" w:rsidRPr="00686BF0" w:rsidRDefault="00DA0356" w:rsidP="004260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Units:</w:t>
            </w:r>
          </w:p>
        </w:tc>
      </w:tr>
      <w:tr w:rsidR="00274A5F" w:rsidTr="00A15AB8">
        <w:trPr>
          <w:trHeight w:val="244"/>
        </w:trPr>
        <w:tc>
          <w:tcPr>
            <w:tcW w:w="1410" w:type="dxa"/>
          </w:tcPr>
          <w:p w:rsidR="00274A5F" w:rsidRPr="00686BF0" w:rsidRDefault="00274A5F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I</w:t>
            </w:r>
          </w:p>
        </w:tc>
        <w:tc>
          <w:tcPr>
            <w:tcW w:w="8163" w:type="dxa"/>
          </w:tcPr>
          <w:p w:rsidR="00274A5F" w:rsidRPr="00A15AB8" w:rsidRDefault="00A15AB8" w:rsidP="00426017">
            <w:pPr>
              <w:rPr>
                <w:b/>
                <w:sz w:val="18"/>
                <w:szCs w:val="18"/>
              </w:rPr>
            </w:pPr>
            <w:r w:rsidRPr="00A15AB8">
              <w:rPr>
                <w:b/>
                <w:sz w:val="18"/>
                <w:szCs w:val="18"/>
              </w:rPr>
              <w:t>Legal Foundations</w:t>
            </w:r>
          </w:p>
        </w:tc>
      </w:tr>
      <w:tr w:rsidR="00274A5F" w:rsidTr="00A15AB8">
        <w:trPr>
          <w:trHeight w:val="244"/>
        </w:trPr>
        <w:tc>
          <w:tcPr>
            <w:tcW w:w="1410" w:type="dxa"/>
          </w:tcPr>
          <w:p w:rsidR="00274A5F" w:rsidRPr="00686BF0" w:rsidRDefault="00274A5F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2</w:t>
            </w:r>
          </w:p>
        </w:tc>
        <w:tc>
          <w:tcPr>
            <w:tcW w:w="8163" w:type="dxa"/>
          </w:tcPr>
          <w:p w:rsidR="00274A5F" w:rsidRPr="00686BF0" w:rsidRDefault="0036236A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Rights and Freedoms</w:t>
            </w:r>
          </w:p>
        </w:tc>
      </w:tr>
      <w:tr w:rsidR="00274A5F" w:rsidTr="00A15AB8">
        <w:trPr>
          <w:trHeight w:val="261"/>
        </w:trPr>
        <w:tc>
          <w:tcPr>
            <w:tcW w:w="1410" w:type="dxa"/>
          </w:tcPr>
          <w:p w:rsidR="00274A5F" w:rsidRPr="00686BF0" w:rsidRDefault="00274A5F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3</w:t>
            </w:r>
          </w:p>
        </w:tc>
        <w:tc>
          <w:tcPr>
            <w:tcW w:w="8163" w:type="dxa"/>
          </w:tcPr>
          <w:p w:rsidR="00274A5F" w:rsidRPr="00686BF0" w:rsidRDefault="00DA0356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Criminal Law</w:t>
            </w:r>
          </w:p>
        </w:tc>
      </w:tr>
      <w:tr w:rsidR="00274A5F" w:rsidTr="00A15AB8">
        <w:trPr>
          <w:trHeight w:val="244"/>
        </w:trPr>
        <w:tc>
          <w:tcPr>
            <w:tcW w:w="1410" w:type="dxa"/>
          </w:tcPr>
          <w:p w:rsidR="00274A5F" w:rsidRPr="00686BF0" w:rsidRDefault="00274A5F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</w:t>
            </w:r>
          </w:p>
        </w:tc>
        <w:tc>
          <w:tcPr>
            <w:tcW w:w="8163" w:type="dxa"/>
          </w:tcPr>
          <w:p w:rsidR="00274A5F" w:rsidRPr="00686BF0" w:rsidRDefault="00DA0356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 Law</w:t>
            </w:r>
          </w:p>
        </w:tc>
      </w:tr>
      <w:tr w:rsidR="00274A5F" w:rsidTr="00A15AB8">
        <w:trPr>
          <w:trHeight w:val="261"/>
        </w:trPr>
        <w:tc>
          <w:tcPr>
            <w:tcW w:w="1410" w:type="dxa"/>
          </w:tcPr>
          <w:p w:rsidR="00274A5F" w:rsidRPr="00686BF0" w:rsidRDefault="00274A5F" w:rsidP="006B49EE">
            <w:pPr>
              <w:rPr>
                <w:b/>
                <w:sz w:val="18"/>
                <w:szCs w:val="18"/>
              </w:rPr>
            </w:pPr>
            <w:r w:rsidRPr="00686BF0">
              <w:rPr>
                <w:b/>
                <w:sz w:val="18"/>
                <w:szCs w:val="18"/>
              </w:rPr>
              <w:t xml:space="preserve">Unit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63" w:type="dxa"/>
          </w:tcPr>
          <w:p w:rsidR="00274A5F" w:rsidRPr="00686BF0" w:rsidRDefault="0036236A" w:rsidP="004260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Evaluations</w:t>
            </w:r>
          </w:p>
        </w:tc>
      </w:tr>
    </w:tbl>
    <w:p w:rsidR="00A15AB8" w:rsidRPr="00CE550D" w:rsidRDefault="00A15AB8" w:rsidP="00426017">
      <w:pPr>
        <w:spacing w:after="0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5E86" w:rsidTr="00565E86">
        <w:tc>
          <w:tcPr>
            <w:tcW w:w="9576" w:type="dxa"/>
            <w:gridSpan w:val="2"/>
          </w:tcPr>
          <w:p w:rsidR="00565E86" w:rsidRPr="00ED3A35" w:rsidRDefault="00565E86" w:rsidP="00565E86">
            <w:pPr>
              <w:jc w:val="center"/>
              <w:rPr>
                <w:b/>
              </w:rPr>
            </w:pPr>
            <w:r w:rsidRPr="00ED3A35">
              <w:rPr>
                <w:b/>
              </w:rPr>
              <w:t>Evaluations</w:t>
            </w:r>
          </w:p>
        </w:tc>
      </w:tr>
      <w:tr w:rsidR="00565E86" w:rsidTr="00565E86">
        <w:tc>
          <w:tcPr>
            <w:tcW w:w="9576" w:type="dxa"/>
            <w:gridSpan w:val="2"/>
          </w:tcPr>
          <w:p w:rsidR="00565E86" w:rsidRPr="00ED3A35" w:rsidRDefault="00565E86" w:rsidP="00ED3A35">
            <w:pPr>
              <w:jc w:val="both"/>
              <w:rPr>
                <w:sz w:val="18"/>
                <w:szCs w:val="18"/>
              </w:rPr>
            </w:pPr>
            <w:r w:rsidRPr="00ED3A35">
              <w:rPr>
                <w:sz w:val="18"/>
                <w:szCs w:val="18"/>
              </w:rPr>
              <w:t xml:space="preserve">Students will be evaluated through </w:t>
            </w:r>
            <w:r w:rsidR="00ED3A35">
              <w:rPr>
                <w:sz w:val="18"/>
                <w:szCs w:val="18"/>
              </w:rPr>
              <w:t xml:space="preserve">summative and </w:t>
            </w:r>
            <w:r w:rsidRPr="00ED3A35">
              <w:rPr>
                <w:sz w:val="18"/>
                <w:szCs w:val="18"/>
              </w:rPr>
              <w:t xml:space="preserve">final summative evaluations.  Evaluations aim to </w:t>
            </w:r>
            <w:r w:rsidR="00ED3A35" w:rsidRPr="00ED3A35">
              <w:rPr>
                <w:sz w:val="18"/>
                <w:szCs w:val="18"/>
              </w:rPr>
              <w:t xml:space="preserve">be a valuable </w:t>
            </w:r>
            <w:r w:rsidRPr="00ED3A35">
              <w:rPr>
                <w:sz w:val="18"/>
                <w:szCs w:val="18"/>
              </w:rPr>
              <w:t>reflect</w:t>
            </w:r>
            <w:r w:rsidR="00ED3A35" w:rsidRPr="00ED3A35">
              <w:rPr>
                <w:sz w:val="18"/>
                <w:szCs w:val="18"/>
              </w:rPr>
              <w:t>ion, demonstration</w:t>
            </w:r>
            <w:r w:rsidRPr="00ED3A35">
              <w:rPr>
                <w:sz w:val="18"/>
                <w:szCs w:val="18"/>
              </w:rPr>
              <w:t xml:space="preserve"> and assess</w:t>
            </w:r>
            <w:r w:rsidR="00ED3A35" w:rsidRPr="00ED3A35">
              <w:rPr>
                <w:sz w:val="18"/>
                <w:szCs w:val="18"/>
              </w:rPr>
              <w:t>ment of</w:t>
            </w:r>
            <w:r w:rsidRPr="00ED3A35">
              <w:rPr>
                <w:sz w:val="18"/>
                <w:szCs w:val="18"/>
              </w:rPr>
              <w:t xml:space="preserve"> class</w:t>
            </w:r>
            <w:r w:rsidR="00ED3A35" w:rsidRPr="00ED3A35">
              <w:rPr>
                <w:sz w:val="18"/>
                <w:szCs w:val="18"/>
              </w:rPr>
              <w:t>room</w:t>
            </w:r>
            <w:r w:rsidRPr="00ED3A35">
              <w:rPr>
                <w:sz w:val="18"/>
                <w:szCs w:val="18"/>
              </w:rPr>
              <w:t xml:space="preserve"> and independent learning.  </w:t>
            </w:r>
          </w:p>
        </w:tc>
      </w:tr>
      <w:tr w:rsidR="00ED3A35" w:rsidTr="00ED3A35">
        <w:tc>
          <w:tcPr>
            <w:tcW w:w="4788" w:type="dxa"/>
          </w:tcPr>
          <w:p w:rsidR="00ED3A35" w:rsidRPr="00ED3A35" w:rsidRDefault="00ED3A35" w:rsidP="00ED3A35">
            <w:pPr>
              <w:rPr>
                <w:b/>
              </w:rPr>
            </w:pPr>
            <w:r w:rsidRPr="00ED3A35">
              <w:rPr>
                <w:b/>
              </w:rPr>
              <w:t>Term Evaluations</w:t>
            </w:r>
          </w:p>
        </w:tc>
        <w:tc>
          <w:tcPr>
            <w:tcW w:w="4788" w:type="dxa"/>
          </w:tcPr>
          <w:p w:rsidR="00ED3A35" w:rsidRPr="00ED3A35" w:rsidRDefault="00ED3A35" w:rsidP="00ED3A35">
            <w:pPr>
              <w:rPr>
                <w:b/>
              </w:rPr>
            </w:pPr>
            <w:r w:rsidRPr="00ED3A35">
              <w:rPr>
                <w:b/>
              </w:rPr>
              <w:t>Final Evaluations</w:t>
            </w:r>
          </w:p>
        </w:tc>
      </w:tr>
      <w:tr w:rsidR="00ED3A35" w:rsidTr="00ED3A35">
        <w:tc>
          <w:tcPr>
            <w:tcW w:w="4788" w:type="dxa"/>
          </w:tcPr>
          <w:p w:rsidR="00ED3A35" w:rsidRPr="00ED3A35" w:rsidRDefault="00ED3A35" w:rsidP="00ED3A35">
            <w:pPr>
              <w:rPr>
                <w:sz w:val="18"/>
                <w:szCs w:val="18"/>
              </w:rPr>
            </w:pPr>
            <w:r w:rsidRPr="00ED3A35">
              <w:rPr>
                <w:sz w:val="18"/>
                <w:szCs w:val="18"/>
              </w:rPr>
              <w:t>Term evaluations will comprise 70% of the final grade divided evenly through the achievement categories.</w:t>
            </w:r>
            <w:r w:rsidR="00593AC6">
              <w:rPr>
                <w:sz w:val="18"/>
                <w:szCs w:val="18"/>
              </w:rPr>
              <w:t xml:space="preserve">  </w:t>
            </w:r>
            <w:r w:rsidRPr="00ED3A3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88" w:type="dxa"/>
          </w:tcPr>
          <w:p w:rsidR="00ED3A35" w:rsidRPr="00ED3A35" w:rsidRDefault="00ED3A35" w:rsidP="00ED3A35">
            <w:pPr>
              <w:rPr>
                <w:sz w:val="18"/>
                <w:szCs w:val="18"/>
              </w:rPr>
            </w:pPr>
            <w:r w:rsidRPr="00ED3A35">
              <w:rPr>
                <w:sz w:val="18"/>
                <w:szCs w:val="18"/>
              </w:rPr>
              <w:t xml:space="preserve">Final evaluations will comprise 30% of the final grade divided evenly through the achievement categories.  </w:t>
            </w:r>
          </w:p>
        </w:tc>
      </w:tr>
      <w:tr w:rsidR="00ED3A35" w:rsidTr="00ED3A35">
        <w:tc>
          <w:tcPr>
            <w:tcW w:w="4788" w:type="dxa"/>
          </w:tcPr>
          <w:p w:rsidR="00ED3A35" w:rsidRPr="00565E86" w:rsidRDefault="00ED3A35" w:rsidP="00ED3A35">
            <w:pPr>
              <w:rPr>
                <w:b/>
              </w:rPr>
            </w:pPr>
            <w:r w:rsidRPr="00565E86">
              <w:rPr>
                <w:b/>
              </w:rPr>
              <w:t>Achievement Categories</w:t>
            </w:r>
          </w:p>
        </w:tc>
        <w:tc>
          <w:tcPr>
            <w:tcW w:w="4788" w:type="dxa"/>
          </w:tcPr>
          <w:p w:rsidR="00ED3A35" w:rsidRPr="00565E86" w:rsidRDefault="00ED3A35" w:rsidP="00ED3A35">
            <w:pPr>
              <w:rPr>
                <w:b/>
              </w:rPr>
            </w:pPr>
            <w:r w:rsidRPr="00565E86">
              <w:rPr>
                <w:b/>
              </w:rPr>
              <w:t>Learning Skills</w:t>
            </w:r>
          </w:p>
        </w:tc>
      </w:tr>
      <w:tr w:rsidR="00ED3A35" w:rsidTr="00ED3A35">
        <w:tc>
          <w:tcPr>
            <w:tcW w:w="4788" w:type="dxa"/>
          </w:tcPr>
          <w:p w:rsidR="00ED3A35" w:rsidRPr="00A36C86" w:rsidRDefault="00ED3A35" w:rsidP="00A36C86">
            <w:pPr>
              <w:rPr>
                <w:sz w:val="18"/>
                <w:szCs w:val="18"/>
              </w:rPr>
            </w:pPr>
            <w:r w:rsidRPr="00A36C86">
              <w:rPr>
                <w:sz w:val="18"/>
                <w:szCs w:val="18"/>
              </w:rPr>
              <w:t>Students will be evaluated</w:t>
            </w:r>
            <w:r w:rsidR="00A36C86">
              <w:rPr>
                <w:sz w:val="18"/>
                <w:szCs w:val="18"/>
              </w:rPr>
              <w:t xml:space="preserve"> through term </w:t>
            </w:r>
            <w:r w:rsidRPr="00A36C86">
              <w:rPr>
                <w:sz w:val="18"/>
                <w:szCs w:val="18"/>
              </w:rPr>
              <w:t>and final summative evaluations in the following achievement categories used to arrive at a percentage grade on the Provincial Report Cards:</w:t>
            </w:r>
          </w:p>
          <w:p w:rsidR="00ED3A35" w:rsidRPr="00A36C86" w:rsidRDefault="003737DB" w:rsidP="00A36C86">
            <w:pPr>
              <w:rPr>
                <w:sz w:val="18"/>
                <w:szCs w:val="18"/>
              </w:rPr>
            </w:pPr>
            <w:r w:rsidRPr="00A36C86">
              <w:rPr>
                <w:b/>
                <w:sz w:val="18"/>
                <w:szCs w:val="18"/>
              </w:rPr>
              <w:t>Knowledge and Understanding</w:t>
            </w:r>
            <w:r w:rsidR="00A36C86" w:rsidRPr="00A36C86">
              <w:rPr>
                <w:b/>
                <w:sz w:val="18"/>
                <w:szCs w:val="18"/>
              </w:rPr>
              <w:t>-</w:t>
            </w:r>
            <w:r w:rsidRPr="00A36C86">
              <w:rPr>
                <w:sz w:val="18"/>
                <w:szCs w:val="18"/>
              </w:rPr>
              <w:t xml:space="preserve"> 17.5 </w:t>
            </w:r>
            <w:r w:rsidR="00ED3A35" w:rsidRPr="00A36C86">
              <w:rPr>
                <w:sz w:val="18"/>
                <w:szCs w:val="18"/>
              </w:rPr>
              <w:t>% of final grade</w:t>
            </w:r>
          </w:p>
          <w:p w:rsidR="003737DB" w:rsidRPr="00A36C86" w:rsidRDefault="003737DB" w:rsidP="00A36C8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 w:rsidRPr="00A36C86">
              <w:rPr>
                <w:sz w:val="18"/>
                <w:szCs w:val="18"/>
              </w:rPr>
              <w:t>knowledge of content • understanding of content</w:t>
            </w:r>
          </w:p>
          <w:p w:rsidR="00A36C86" w:rsidRPr="00A36C86" w:rsidRDefault="00A36C86" w:rsidP="00A36C86">
            <w:pPr>
              <w:rPr>
                <w:sz w:val="18"/>
                <w:szCs w:val="18"/>
              </w:rPr>
            </w:pPr>
            <w:r w:rsidRPr="00A36C86">
              <w:rPr>
                <w:b/>
                <w:sz w:val="18"/>
                <w:szCs w:val="18"/>
              </w:rPr>
              <w:t>Thinking-</w:t>
            </w:r>
            <w:r w:rsidRPr="00A36C86">
              <w:rPr>
                <w:sz w:val="18"/>
                <w:szCs w:val="18"/>
              </w:rPr>
              <w:t xml:space="preserve">  17.5% of final grade</w:t>
            </w:r>
          </w:p>
          <w:p w:rsidR="00A36C86" w:rsidRPr="00A36C86" w:rsidRDefault="00A36C86" w:rsidP="00A36C8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 w:rsidRPr="00A36C86">
              <w:rPr>
                <w:sz w:val="18"/>
                <w:szCs w:val="18"/>
              </w:rPr>
              <w:t>use of planning skills • us</w:t>
            </w:r>
            <w:r>
              <w:rPr>
                <w:sz w:val="18"/>
                <w:szCs w:val="18"/>
              </w:rPr>
              <w:t xml:space="preserve">e of processing skills • use of </w:t>
            </w:r>
            <w:r w:rsidRPr="00A36C86">
              <w:rPr>
                <w:sz w:val="18"/>
                <w:szCs w:val="18"/>
              </w:rPr>
              <w:t>critical/creative thinking processes</w:t>
            </w:r>
          </w:p>
          <w:p w:rsidR="00ED3A35" w:rsidRPr="00A36C86" w:rsidRDefault="00ED3A35" w:rsidP="00A36C86">
            <w:pPr>
              <w:rPr>
                <w:sz w:val="18"/>
                <w:szCs w:val="18"/>
              </w:rPr>
            </w:pPr>
            <w:r w:rsidRPr="00A36C86">
              <w:rPr>
                <w:b/>
                <w:sz w:val="18"/>
                <w:szCs w:val="18"/>
              </w:rPr>
              <w:t>Application</w:t>
            </w:r>
            <w:r w:rsidR="00A36C86" w:rsidRPr="00A36C86">
              <w:rPr>
                <w:sz w:val="18"/>
                <w:szCs w:val="18"/>
              </w:rPr>
              <w:t>- 17.</w:t>
            </w:r>
            <w:r w:rsidRPr="00A36C86">
              <w:rPr>
                <w:sz w:val="18"/>
                <w:szCs w:val="18"/>
              </w:rPr>
              <w:t>5% of final grade</w:t>
            </w:r>
          </w:p>
          <w:p w:rsidR="00A36C86" w:rsidRPr="00A36C86" w:rsidRDefault="00A36C86" w:rsidP="00A36C8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 w:rsidRPr="00A36C86">
              <w:rPr>
                <w:sz w:val="18"/>
                <w:szCs w:val="18"/>
              </w:rPr>
              <w:t>application of knowledge and skills in familiar contexts • transfer of knowledge and skills to new contexts • making connections within and between various contexts</w:t>
            </w:r>
          </w:p>
          <w:p w:rsidR="003737DB" w:rsidRPr="00A36C86" w:rsidRDefault="003737DB" w:rsidP="00A36C86">
            <w:pPr>
              <w:rPr>
                <w:sz w:val="18"/>
                <w:szCs w:val="18"/>
              </w:rPr>
            </w:pPr>
            <w:r w:rsidRPr="00A36C86">
              <w:rPr>
                <w:b/>
                <w:sz w:val="18"/>
                <w:szCs w:val="18"/>
              </w:rPr>
              <w:t>Communication</w:t>
            </w:r>
            <w:r w:rsidR="00A36C86" w:rsidRPr="00A36C86">
              <w:rPr>
                <w:b/>
                <w:sz w:val="18"/>
                <w:szCs w:val="18"/>
              </w:rPr>
              <w:t xml:space="preserve">- </w:t>
            </w:r>
            <w:r w:rsidR="00A36C86" w:rsidRPr="00A36C86">
              <w:rPr>
                <w:sz w:val="18"/>
                <w:szCs w:val="18"/>
              </w:rPr>
              <w:t>17.5 of final grade</w:t>
            </w:r>
          </w:p>
          <w:p w:rsidR="00A36C86" w:rsidRPr="00A36C86" w:rsidRDefault="00A36C86" w:rsidP="00A36C8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sz w:val="18"/>
                <w:szCs w:val="18"/>
              </w:rPr>
            </w:pPr>
            <w:r w:rsidRPr="00A36C86">
              <w:rPr>
                <w:sz w:val="18"/>
                <w:szCs w:val="18"/>
              </w:rPr>
              <w:t>expression and organization</w:t>
            </w:r>
            <w:r>
              <w:rPr>
                <w:sz w:val="18"/>
                <w:szCs w:val="18"/>
              </w:rPr>
              <w:t xml:space="preserve"> of ideas and information• </w:t>
            </w:r>
            <w:r w:rsidRPr="00A36C86">
              <w:rPr>
                <w:sz w:val="18"/>
                <w:szCs w:val="18"/>
              </w:rPr>
              <w:t>communication for diffe</w:t>
            </w:r>
            <w:r>
              <w:rPr>
                <w:sz w:val="18"/>
                <w:szCs w:val="18"/>
              </w:rPr>
              <w:t xml:space="preserve">rent audiences and </w:t>
            </w:r>
            <w:r w:rsidR="00DE243B">
              <w:rPr>
                <w:sz w:val="18"/>
                <w:szCs w:val="18"/>
              </w:rPr>
              <w:t>purposes</w:t>
            </w:r>
            <w:r w:rsidRPr="00A36C86">
              <w:rPr>
                <w:sz w:val="18"/>
                <w:szCs w:val="18"/>
              </w:rPr>
              <w:t xml:space="preserve"> • use of conventions, vocabulary, and ter</w:t>
            </w:r>
            <w:r w:rsidR="007025CC">
              <w:rPr>
                <w:sz w:val="18"/>
                <w:szCs w:val="18"/>
              </w:rPr>
              <w:t>minology of the discipline</w:t>
            </w:r>
          </w:p>
        </w:tc>
        <w:tc>
          <w:tcPr>
            <w:tcW w:w="4788" w:type="dxa"/>
          </w:tcPr>
          <w:p w:rsidR="00ED3A35" w:rsidRPr="00250E69" w:rsidRDefault="00ED3A35" w:rsidP="00A36C8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250E69">
              <w:rPr>
                <w:rFonts w:asciiTheme="minorHAnsi" w:hAnsiTheme="minorHAnsi" w:cstheme="minorHAnsi"/>
                <w:sz w:val="18"/>
                <w:szCs w:val="18"/>
              </w:rPr>
              <w:t xml:space="preserve">Learning skills are reported on the Provincial Report Card separately from the percentage mark.  </w:t>
            </w:r>
          </w:p>
          <w:p w:rsidR="00ED3A35" w:rsidRPr="00257774" w:rsidRDefault="00250E69" w:rsidP="00A36C8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 xml:space="preserve">Responsibility </w:t>
            </w:r>
            <w:r w:rsidRPr="00257774">
              <w:rPr>
                <w:sz w:val="16"/>
                <w:szCs w:val="16"/>
              </w:rPr>
              <w:t xml:space="preserve">• fulfils </w:t>
            </w:r>
            <w:r w:rsidR="00C37982">
              <w:rPr>
                <w:sz w:val="16"/>
                <w:szCs w:val="16"/>
              </w:rPr>
              <w:t xml:space="preserve">responsibilities </w:t>
            </w:r>
            <w:r w:rsidR="00C37982" w:rsidRPr="00257774">
              <w:rPr>
                <w:sz w:val="16"/>
                <w:szCs w:val="16"/>
              </w:rPr>
              <w:t>within</w:t>
            </w:r>
            <w:r w:rsidRPr="00257774">
              <w:rPr>
                <w:sz w:val="16"/>
                <w:szCs w:val="16"/>
              </w:rPr>
              <w:t xml:space="preserve"> the learning environment </w:t>
            </w:r>
            <w:r w:rsidR="00C37982">
              <w:rPr>
                <w:sz w:val="16"/>
                <w:szCs w:val="16"/>
              </w:rPr>
              <w:t>•</w:t>
            </w:r>
            <w:r w:rsidRPr="00257774">
              <w:rPr>
                <w:sz w:val="16"/>
                <w:szCs w:val="16"/>
              </w:rPr>
              <w:t xml:space="preserve"> submits work acco</w:t>
            </w:r>
            <w:r w:rsidR="00C37982">
              <w:rPr>
                <w:sz w:val="16"/>
                <w:szCs w:val="16"/>
              </w:rPr>
              <w:t xml:space="preserve">rding to </w:t>
            </w:r>
            <w:r w:rsidRPr="00257774">
              <w:rPr>
                <w:sz w:val="16"/>
                <w:szCs w:val="16"/>
              </w:rPr>
              <w:t>timelines • takes</w:t>
            </w:r>
            <w:r w:rsidR="00C37982">
              <w:rPr>
                <w:sz w:val="16"/>
                <w:szCs w:val="16"/>
              </w:rPr>
              <w:t xml:space="preserve"> responsibility for </w:t>
            </w:r>
            <w:r w:rsidRPr="00257774">
              <w:rPr>
                <w:sz w:val="16"/>
                <w:szCs w:val="16"/>
              </w:rPr>
              <w:t>own behaviour.</w:t>
            </w:r>
          </w:p>
          <w:p w:rsidR="00250E69" w:rsidRPr="00257774" w:rsidRDefault="00250E69" w:rsidP="00250E69">
            <w:pPr>
              <w:rPr>
                <w:sz w:val="16"/>
                <w:szCs w:val="16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 xml:space="preserve">Organization </w:t>
            </w:r>
            <w:r w:rsidRPr="00257774">
              <w:rPr>
                <w:sz w:val="16"/>
                <w:szCs w:val="16"/>
              </w:rPr>
              <w:t>•</w:t>
            </w:r>
            <w:r w:rsidR="00C37982">
              <w:rPr>
                <w:sz w:val="16"/>
                <w:szCs w:val="16"/>
              </w:rPr>
              <w:t xml:space="preserve"> devises and follows a </w:t>
            </w:r>
            <w:r w:rsidRPr="00257774">
              <w:rPr>
                <w:sz w:val="16"/>
                <w:szCs w:val="16"/>
              </w:rPr>
              <w:t>process for completing tasks; • establishes priorities and manages time to achie</w:t>
            </w:r>
            <w:r w:rsidR="00C37982">
              <w:rPr>
                <w:sz w:val="16"/>
                <w:szCs w:val="16"/>
              </w:rPr>
              <w:t>ve goals; •</w:t>
            </w:r>
            <w:r w:rsidRPr="00257774">
              <w:rPr>
                <w:sz w:val="16"/>
                <w:szCs w:val="16"/>
              </w:rPr>
              <w:t xml:space="preserve"> evaluates, and uses information, technology, and resources to complete tasks.</w:t>
            </w:r>
          </w:p>
          <w:p w:rsidR="00250E69" w:rsidRPr="00257774" w:rsidRDefault="00250E69" w:rsidP="00250E69">
            <w:pPr>
              <w:rPr>
                <w:sz w:val="16"/>
                <w:szCs w:val="16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>Independent Work</w:t>
            </w:r>
            <w:r w:rsidRPr="00257774">
              <w:rPr>
                <w:sz w:val="16"/>
                <w:szCs w:val="16"/>
              </w:rPr>
              <w:t xml:space="preserve"> </w:t>
            </w:r>
            <w:r w:rsidR="00C37982">
              <w:rPr>
                <w:sz w:val="16"/>
                <w:szCs w:val="16"/>
              </w:rPr>
              <w:t>•</w:t>
            </w:r>
            <w:r w:rsidRPr="00257774">
              <w:rPr>
                <w:sz w:val="16"/>
                <w:szCs w:val="16"/>
              </w:rPr>
              <w:t xml:space="preserve"> revises plans to complete tasks and meet goals; • uses class time appropriately • follows instructions with minimal supervision. </w:t>
            </w:r>
          </w:p>
          <w:p w:rsidR="00250E69" w:rsidRPr="00257774" w:rsidRDefault="00AD3018" w:rsidP="00250E69">
            <w:pPr>
              <w:rPr>
                <w:sz w:val="16"/>
                <w:szCs w:val="16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 xml:space="preserve">Collaboration </w:t>
            </w:r>
            <w:r w:rsidRPr="00257774">
              <w:rPr>
                <w:sz w:val="16"/>
                <w:szCs w:val="16"/>
              </w:rPr>
              <w:t>•</w:t>
            </w:r>
            <w:r w:rsidR="00250E69" w:rsidRPr="00257774">
              <w:rPr>
                <w:sz w:val="16"/>
                <w:szCs w:val="16"/>
              </w:rPr>
              <w:t xml:space="preserve"> accepts an equitable share of work in a group; • responds positively to the ideas </w:t>
            </w:r>
            <w:r w:rsidR="00C37982">
              <w:rPr>
                <w:sz w:val="16"/>
                <w:szCs w:val="16"/>
              </w:rPr>
              <w:t>of others;</w:t>
            </w:r>
            <w:r w:rsidR="00250E69" w:rsidRPr="00257774">
              <w:rPr>
                <w:sz w:val="16"/>
                <w:szCs w:val="16"/>
              </w:rPr>
              <w:t xml:space="preserve"> • works with others to achieve group goals; • shares information, resources, and </w:t>
            </w:r>
            <w:proofErr w:type="gramStart"/>
            <w:r w:rsidR="00250E69" w:rsidRPr="00257774">
              <w:rPr>
                <w:sz w:val="16"/>
                <w:szCs w:val="16"/>
              </w:rPr>
              <w:t>expertis</w:t>
            </w:r>
            <w:r>
              <w:rPr>
                <w:sz w:val="16"/>
                <w:szCs w:val="16"/>
              </w:rPr>
              <w:t xml:space="preserve">e </w:t>
            </w:r>
            <w:r w:rsidR="00250E69" w:rsidRPr="00257774">
              <w:rPr>
                <w:sz w:val="16"/>
                <w:szCs w:val="16"/>
              </w:rPr>
              <w:t xml:space="preserve"> to</w:t>
            </w:r>
            <w:proofErr w:type="gramEnd"/>
            <w:r w:rsidR="00250E69" w:rsidRPr="00257774">
              <w:rPr>
                <w:sz w:val="16"/>
                <w:szCs w:val="16"/>
              </w:rPr>
              <w:t xml:space="preserve"> solve problems and make decisions. </w:t>
            </w:r>
          </w:p>
          <w:p w:rsidR="00257774" w:rsidRPr="00257774" w:rsidRDefault="00ED3A35" w:rsidP="00257774">
            <w:pPr>
              <w:rPr>
                <w:sz w:val="16"/>
                <w:szCs w:val="16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>Initiative</w:t>
            </w:r>
            <w:r w:rsidRPr="0025777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D3018">
              <w:rPr>
                <w:sz w:val="16"/>
                <w:szCs w:val="16"/>
              </w:rPr>
              <w:t xml:space="preserve">• looks for </w:t>
            </w:r>
            <w:r w:rsidR="00257774" w:rsidRPr="00257774">
              <w:rPr>
                <w:sz w:val="16"/>
                <w:szCs w:val="16"/>
              </w:rPr>
              <w:t xml:space="preserve">new ideas and opportunities for learning; • demonstrates innovation and a willingness to take risks as well as curiosity and interest in learning; •advocates appropriately for the rights of self and others. </w:t>
            </w:r>
          </w:p>
          <w:p w:rsidR="00ED3A35" w:rsidRPr="00AD3018" w:rsidRDefault="00ED3A35" w:rsidP="00A36C86">
            <w:pPr>
              <w:rPr>
                <w:sz w:val="16"/>
                <w:szCs w:val="16"/>
              </w:rPr>
            </w:pPr>
            <w:r w:rsidRPr="00257774">
              <w:rPr>
                <w:rFonts w:cstheme="minorHAnsi"/>
                <w:b/>
                <w:sz w:val="16"/>
                <w:szCs w:val="16"/>
                <w:lang w:val="en-US"/>
              </w:rPr>
              <w:t>Self-</w:t>
            </w:r>
            <w:r w:rsidR="00AD3018" w:rsidRPr="00257774">
              <w:rPr>
                <w:rFonts w:cstheme="minorHAnsi"/>
                <w:b/>
                <w:sz w:val="16"/>
                <w:szCs w:val="16"/>
                <w:lang w:val="en-US"/>
              </w:rPr>
              <w:t>Regulation</w:t>
            </w:r>
            <w:r w:rsidR="00AD3018" w:rsidRPr="0025777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D3018" w:rsidRPr="00257774">
              <w:rPr>
                <w:sz w:val="16"/>
                <w:szCs w:val="16"/>
              </w:rPr>
              <w:t>•</w:t>
            </w:r>
            <w:r w:rsidR="00257774" w:rsidRPr="00257774">
              <w:rPr>
                <w:sz w:val="16"/>
                <w:szCs w:val="16"/>
              </w:rPr>
              <w:t xml:space="preserve"> sets own goals and monitors</w:t>
            </w:r>
            <w:r w:rsidR="00AD3018">
              <w:rPr>
                <w:sz w:val="16"/>
                <w:szCs w:val="16"/>
              </w:rPr>
              <w:t xml:space="preserve"> progress</w:t>
            </w:r>
            <w:r w:rsidR="00257774" w:rsidRPr="00257774">
              <w:rPr>
                <w:sz w:val="16"/>
                <w:szCs w:val="16"/>
              </w:rPr>
              <w:t>; • seeks clarification when needed; • refle</w:t>
            </w:r>
            <w:r w:rsidR="00AD3018">
              <w:rPr>
                <w:sz w:val="16"/>
                <w:szCs w:val="16"/>
              </w:rPr>
              <w:t xml:space="preserve">cts on </w:t>
            </w:r>
            <w:r w:rsidR="00257774" w:rsidRPr="00257774">
              <w:rPr>
                <w:sz w:val="16"/>
                <w:szCs w:val="16"/>
              </w:rPr>
              <w:t>strengths and needs; • perseveres and makes an effort when responding to challenges.</w:t>
            </w:r>
          </w:p>
        </w:tc>
      </w:tr>
    </w:tbl>
    <w:p w:rsidR="00ED3A35" w:rsidRDefault="00ED3A35" w:rsidP="00DA0356">
      <w:pPr>
        <w:spacing w:after="0"/>
        <w:rPr>
          <w:b/>
          <w:sz w:val="24"/>
          <w:szCs w:val="24"/>
        </w:rPr>
      </w:pPr>
    </w:p>
    <w:sectPr w:rsidR="00ED3A3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F" w:rsidRDefault="009E259F" w:rsidP="00322CB7">
      <w:pPr>
        <w:spacing w:after="0" w:line="240" w:lineRule="auto"/>
      </w:pPr>
      <w:r>
        <w:separator/>
      </w:r>
    </w:p>
  </w:endnote>
  <w:endnote w:type="continuationSeparator" w:id="0">
    <w:p w:rsidR="009E259F" w:rsidRDefault="009E259F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F" w:rsidRDefault="009E259F" w:rsidP="00322CB7">
      <w:pPr>
        <w:spacing w:after="0" w:line="240" w:lineRule="auto"/>
      </w:pPr>
      <w:r>
        <w:separator/>
      </w:r>
    </w:p>
  </w:footnote>
  <w:footnote w:type="continuationSeparator" w:id="0">
    <w:p w:rsidR="009E259F" w:rsidRDefault="009E259F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43" w:rsidRPr="00896D28" w:rsidRDefault="00691C43">
    <w:pPr>
      <w:pStyle w:val="Header"/>
      <w:rPr>
        <w:b/>
        <w:sz w:val="20"/>
        <w:szCs w:val="20"/>
      </w:rPr>
    </w:pPr>
    <w:r w:rsidRPr="00896D28">
      <w:rPr>
        <w:b/>
        <w:noProof/>
        <w:sz w:val="36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3B542174" wp14:editId="259423DB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D28">
      <w:rPr>
        <w:b/>
        <w:sz w:val="36"/>
        <w:szCs w:val="36"/>
      </w:rPr>
      <w:ptab w:relativeTo="margin" w:alignment="center" w:leader="none"/>
    </w:r>
    <w:r>
      <w:rPr>
        <w:b/>
        <w:sz w:val="36"/>
        <w:szCs w:val="36"/>
      </w:rPr>
      <w:t xml:space="preserve">                        UNDERSTANDING CANADIAN LAW           </w:t>
    </w:r>
    <w:r>
      <w:rPr>
        <w:rFonts w:cstheme="minorHAnsi"/>
        <w:b/>
        <w:sz w:val="20"/>
        <w:szCs w:val="20"/>
      </w:rPr>
      <w:t>CLU</w:t>
    </w:r>
    <w:r w:rsidRPr="00896D28">
      <w:rPr>
        <w:rFonts w:cstheme="minorHAnsi"/>
        <w:b/>
        <w:sz w:val="20"/>
        <w:szCs w:val="20"/>
      </w:rPr>
      <w:t xml:space="preserve"> 3M1/6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687"/>
    <w:multiLevelType w:val="hybridMultilevel"/>
    <w:tmpl w:val="C0D8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10BF"/>
    <w:multiLevelType w:val="hybridMultilevel"/>
    <w:tmpl w:val="92FAEB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23B1"/>
    <w:multiLevelType w:val="hybridMultilevel"/>
    <w:tmpl w:val="7DA6C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C55F1"/>
    <w:multiLevelType w:val="hybridMultilevel"/>
    <w:tmpl w:val="AB102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14DE7"/>
    <w:rsid w:val="00020677"/>
    <w:rsid w:val="0002737A"/>
    <w:rsid w:val="0008596E"/>
    <w:rsid w:val="000A439A"/>
    <w:rsid w:val="0013795E"/>
    <w:rsid w:val="00172EB7"/>
    <w:rsid w:val="001F4605"/>
    <w:rsid w:val="00210D83"/>
    <w:rsid w:val="00212F40"/>
    <w:rsid w:val="0021618C"/>
    <w:rsid w:val="00242AE0"/>
    <w:rsid w:val="00250E69"/>
    <w:rsid w:val="00257774"/>
    <w:rsid w:val="00274A5F"/>
    <w:rsid w:val="00322CB7"/>
    <w:rsid w:val="003304DD"/>
    <w:rsid w:val="0034289C"/>
    <w:rsid w:val="00343F2C"/>
    <w:rsid w:val="00354EBF"/>
    <w:rsid w:val="0036236A"/>
    <w:rsid w:val="003737DB"/>
    <w:rsid w:val="003B1307"/>
    <w:rsid w:val="003E537C"/>
    <w:rsid w:val="00426017"/>
    <w:rsid w:val="004467D9"/>
    <w:rsid w:val="00452D41"/>
    <w:rsid w:val="00460A72"/>
    <w:rsid w:val="004B3CB8"/>
    <w:rsid w:val="004D6FCA"/>
    <w:rsid w:val="004E4803"/>
    <w:rsid w:val="005073B5"/>
    <w:rsid w:val="00550D55"/>
    <w:rsid w:val="00565E86"/>
    <w:rsid w:val="00566079"/>
    <w:rsid w:val="0057052B"/>
    <w:rsid w:val="00593AC6"/>
    <w:rsid w:val="005A3852"/>
    <w:rsid w:val="00602F78"/>
    <w:rsid w:val="006571C4"/>
    <w:rsid w:val="00661B6E"/>
    <w:rsid w:val="00686BF0"/>
    <w:rsid w:val="006909DE"/>
    <w:rsid w:val="00691C43"/>
    <w:rsid w:val="006B49EE"/>
    <w:rsid w:val="007025CC"/>
    <w:rsid w:val="007510EE"/>
    <w:rsid w:val="007A4F18"/>
    <w:rsid w:val="007F2301"/>
    <w:rsid w:val="00802711"/>
    <w:rsid w:val="008213B9"/>
    <w:rsid w:val="00822624"/>
    <w:rsid w:val="008269C4"/>
    <w:rsid w:val="008457A4"/>
    <w:rsid w:val="00847FB8"/>
    <w:rsid w:val="008677B1"/>
    <w:rsid w:val="00874B5F"/>
    <w:rsid w:val="00896D28"/>
    <w:rsid w:val="008B26A6"/>
    <w:rsid w:val="008D2ACF"/>
    <w:rsid w:val="008D63BE"/>
    <w:rsid w:val="009E259F"/>
    <w:rsid w:val="00A07177"/>
    <w:rsid w:val="00A15AB8"/>
    <w:rsid w:val="00A3602F"/>
    <w:rsid w:val="00A36C86"/>
    <w:rsid w:val="00A73E7A"/>
    <w:rsid w:val="00AA30AD"/>
    <w:rsid w:val="00AC07FE"/>
    <w:rsid w:val="00AD3018"/>
    <w:rsid w:val="00B02541"/>
    <w:rsid w:val="00B13C86"/>
    <w:rsid w:val="00B45409"/>
    <w:rsid w:val="00B669DC"/>
    <w:rsid w:val="00B82D3B"/>
    <w:rsid w:val="00BD1570"/>
    <w:rsid w:val="00C01F5E"/>
    <w:rsid w:val="00C11A25"/>
    <w:rsid w:val="00C21E70"/>
    <w:rsid w:val="00C36026"/>
    <w:rsid w:val="00C37982"/>
    <w:rsid w:val="00C37AC8"/>
    <w:rsid w:val="00CA7558"/>
    <w:rsid w:val="00CE550D"/>
    <w:rsid w:val="00D27C03"/>
    <w:rsid w:val="00D331EF"/>
    <w:rsid w:val="00D43820"/>
    <w:rsid w:val="00D525F4"/>
    <w:rsid w:val="00D65F89"/>
    <w:rsid w:val="00DA0356"/>
    <w:rsid w:val="00DB7629"/>
    <w:rsid w:val="00DB7B64"/>
    <w:rsid w:val="00DD4758"/>
    <w:rsid w:val="00DD72BC"/>
    <w:rsid w:val="00DE243B"/>
    <w:rsid w:val="00DE672F"/>
    <w:rsid w:val="00DE7066"/>
    <w:rsid w:val="00E42E90"/>
    <w:rsid w:val="00E468C8"/>
    <w:rsid w:val="00ED3A35"/>
    <w:rsid w:val="00EE7E97"/>
    <w:rsid w:val="00F24EB5"/>
    <w:rsid w:val="00F46A4D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6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6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ebmail.tdsb.on.ca/owa/redir.aspx?C=vQmfkwZmkk65v0W3MIddp5RhOkNzltEI6IZSWJ8dcDrcsvB8CUtKZmXScdxhHP6WFiCGAJhma58.&amp;URL=http%3a%2f%2fwww.writing.utoronto.ca%2fadvice%2fusing-sources%2fhow-not-to-plagiariz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mir.maltarec@tdsb.on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breesheykathryn.hibbert@tdsb.on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5F5E8-B1DE-4BFC-8170-CAA4A93E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Kathryn</cp:lastModifiedBy>
  <cp:revision>2</cp:revision>
  <cp:lastPrinted>2014-06-27T13:20:00Z</cp:lastPrinted>
  <dcterms:created xsi:type="dcterms:W3CDTF">2016-09-05T23:57:00Z</dcterms:created>
  <dcterms:modified xsi:type="dcterms:W3CDTF">2016-09-05T23:57:00Z</dcterms:modified>
</cp:coreProperties>
</file>